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275" w:rsidRPr="005A2B40" w:rsidRDefault="00956BD5" w:rsidP="00956BD5">
      <w:pPr>
        <w:spacing w:after="0" w:line="240" w:lineRule="auto"/>
        <w:rPr>
          <w:rFonts w:ascii="Arial" w:hAnsi="Arial" w:cs="Arial"/>
          <w:b/>
          <w:szCs w:val="26"/>
        </w:rPr>
      </w:pPr>
      <w:r w:rsidRPr="005A2B40">
        <w:rPr>
          <w:rFonts w:ascii="Arial" w:hAnsi="Arial" w:cs="Arial"/>
          <w:b/>
          <w:sz w:val="36"/>
          <w:szCs w:val="26"/>
        </w:rPr>
        <w:t>Handout Anlageklassen</w:t>
      </w:r>
      <w:r>
        <w:rPr>
          <w:rFonts w:ascii="Arial" w:hAnsi="Arial" w:cs="Arial"/>
          <w:b/>
          <w:sz w:val="26"/>
          <w:szCs w:val="26"/>
        </w:rPr>
        <w:tab/>
      </w:r>
      <w:r w:rsidR="005A2B40">
        <w:rPr>
          <w:rFonts w:ascii="Arial" w:hAnsi="Arial" w:cs="Arial"/>
          <w:b/>
          <w:sz w:val="26"/>
          <w:szCs w:val="26"/>
        </w:rPr>
        <w:tab/>
      </w:r>
      <w:r w:rsidR="005A2B40">
        <w:rPr>
          <w:rFonts w:ascii="Arial" w:hAnsi="Arial" w:cs="Arial"/>
          <w:b/>
          <w:sz w:val="26"/>
          <w:szCs w:val="26"/>
        </w:rPr>
        <w:tab/>
      </w:r>
      <w:r w:rsidR="005A2B40">
        <w:rPr>
          <w:rFonts w:ascii="Arial" w:hAnsi="Arial" w:cs="Arial"/>
          <w:b/>
          <w:sz w:val="26"/>
          <w:szCs w:val="26"/>
        </w:rPr>
        <w:tab/>
      </w:r>
      <w:r w:rsidRPr="005A2B40">
        <w:rPr>
          <w:rFonts w:ascii="Arial" w:hAnsi="Arial" w:cs="Arial"/>
          <w:b/>
          <w:szCs w:val="26"/>
        </w:rPr>
        <w:t>Süleyman Can Yaman</w:t>
      </w:r>
    </w:p>
    <w:p w:rsidR="00956BD5" w:rsidRP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956BD5" w:rsidRP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sz w:val="26"/>
          <w:szCs w:val="26"/>
        </w:rPr>
        <w:t>Anlageklasse/</w:t>
      </w:r>
      <w:proofErr w:type="spellStart"/>
      <w:r w:rsidRPr="00956BD5">
        <w:rPr>
          <w:rFonts w:ascii="Arial" w:hAnsi="Arial" w:cs="Arial"/>
          <w:sz w:val="26"/>
          <w:szCs w:val="26"/>
        </w:rPr>
        <w:t>Assetklasse</w:t>
      </w:r>
      <w:proofErr w:type="spellEnd"/>
      <w:r w:rsidRPr="00956BD5">
        <w:rPr>
          <w:rFonts w:ascii="Arial" w:hAnsi="Arial" w:cs="Arial"/>
          <w:sz w:val="26"/>
          <w:szCs w:val="26"/>
        </w:rPr>
        <w:t xml:space="preserve"> = Anlagesektor</w:t>
      </w:r>
    </w:p>
    <w:p w:rsid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956BD5" w:rsidRP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Unter einer Anlageklasse w</w:t>
      </w:r>
      <w:r w:rsidRPr="00956BD5">
        <w:rPr>
          <w:rFonts w:ascii="Arial" w:hAnsi="Arial" w:cs="Arial"/>
          <w:sz w:val="26"/>
          <w:szCs w:val="26"/>
        </w:rPr>
        <w:t>ird die Einteilung des Kapitalmarktes in unterschiedliche Klassen bzw. Sektoren verstanden.</w:t>
      </w:r>
    </w:p>
    <w:p w:rsidR="00956BD5" w:rsidRP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sz w:val="26"/>
          <w:szCs w:val="26"/>
        </w:rPr>
        <w:t>Die Einteilung in Klassen, Typen etc. als solche ist neutral und notwendig, um Ordnung und Übersichtlichkeit in ei</w:t>
      </w:r>
      <w:r>
        <w:rPr>
          <w:rFonts w:ascii="Arial" w:hAnsi="Arial" w:cs="Arial"/>
          <w:sz w:val="26"/>
          <w:szCs w:val="26"/>
        </w:rPr>
        <w:t>ne ungeordnete Menge zu bringen</w:t>
      </w:r>
    </w:p>
    <w:p w:rsidR="00956BD5" w:rsidRP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(g</w:t>
      </w:r>
      <w:r w:rsidRPr="00956BD5">
        <w:rPr>
          <w:rFonts w:ascii="Arial" w:hAnsi="Arial" w:cs="Arial"/>
          <w:sz w:val="26"/>
          <w:szCs w:val="26"/>
        </w:rPr>
        <w:t>enauso wie man Autos in Kleinwagen, Sportwag</w:t>
      </w:r>
      <w:r>
        <w:rPr>
          <w:rFonts w:ascii="Arial" w:hAnsi="Arial" w:cs="Arial"/>
          <w:sz w:val="26"/>
          <w:szCs w:val="26"/>
        </w:rPr>
        <w:t>en, Geländewagen, etc. aufteilt).</w:t>
      </w:r>
    </w:p>
    <w:p w:rsid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Ein Geldanleger kann sein </w:t>
      </w:r>
      <w:r w:rsidR="00F24B94">
        <w:rPr>
          <w:rFonts w:ascii="Arial" w:hAnsi="Arial" w:cs="Arial"/>
          <w:sz w:val="26"/>
          <w:szCs w:val="26"/>
        </w:rPr>
        <w:t>Kapital</w:t>
      </w:r>
      <w:r>
        <w:rPr>
          <w:rFonts w:ascii="Arial" w:hAnsi="Arial" w:cs="Arial"/>
          <w:sz w:val="26"/>
          <w:szCs w:val="26"/>
        </w:rPr>
        <w:t xml:space="preserve"> in die Anlageklassen investieren(bietet Möglichkeiten, das Kapital anzulegen).</w:t>
      </w:r>
    </w:p>
    <w:p w:rsid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956BD5" w:rsidRPr="005A2B40" w:rsidRDefault="00956BD5" w:rsidP="00956BD5">
      <w:pPr>
        <w:spacing w:after="0" w:line="240" w:lineRule="auto"/>
        <w:rPr>
          <w:rFonts w:ascii="Arial" w:hAnsi="Arial" w:cs="Arial"/>
          <w:b/>
          <w:sz w:val="32"/>
          <w:szCs w:val="26"/>
        </w:rPr>
      </w:pPr>
      <w:r w:rsidRPr="005A2B40">
        <w:rPr>
          <w:rFonts w:ascii="Arial" w:hAnsi="Arial" w:cs="Arial"/>
          <w:b/>
          <w:sz w:val="32"/>
          <w:szCs w:val="26"/>
        </w:rPr>
        <w:t>Wichtigsten Anlageklassen:</w:t>
      </w:r>
    </w:p>
    <w:p w:rsidR="00956BD5" w:rsidRDefault="00956BD5" w:rsidP="00956BD5">
      <w:pPr>
        <w:spacing w:after="0" w:line="240" w:lineRule="auto"/>
        <w:rPr>
          <w:b/>
        </w:rPr>
      </w:pPr>
    </w:p>
    <w:p w:rsid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b/>
          <w:sz w:val="26"/>
          <w:szCs w:val="26"/>
        </w:rPr>
        <w:t>Aktien</w:t>
      </w:r>
      <w:r w:rsidRPr="00956BD5">
        <w:rPr>
          <w:rFonts w:ascii="Arial" w:hAnsi="Arial" w:cs="Arial"/>
          <w:sz w:val="26"/>
          <w:szCs w:val="26"/>
        </w:rPr>
        <w:t>:</w:t>
      </w:r>
    </w:p>
    <w:p w:rsidR="00956BD5" w:rsidRPr="00956BD5" w:rsidRDefault="00956BD5" w:rsidP="00956BD5">
      <w:pPr>
        <w:pStyle w:val="Listenabsatz"/>
        <w:numPr>
          <w:ilvl w:val="0"/>
          <w:numId w:val="2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sz w:val="26"/>
          <w:szCs w:val="26"/>
        </w:rPr>
        <w:t>Man besitzt je nach Anzahl der Aktien Anteile am diesem Unternehmen.</w:t>
      </w:r>
    </w:p>
    <w:p w:rsidR="00956BD5" w:rsidRPr="00956BD5" w:rsidRDefault="00956BD5" w:rsidP="00956BD5">
      <w:pPr>
        <w:pStyle w:val="Listenabsatz"/>
        <w:numPr>
          <w:ilvl w:val="0"/>
          <w:numId w:val="2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sz w:val="26"/>
          <w:szCs w:val="26"/>
        </w:rPr>
        <w:t>Ausschüttung einer Dividende.</w:t>
      </w:r>
    </w:p>
    <w:p w:rsidR="00956BD5" w:rsidRPr="00956BD5" w:rsidRDefault="00956BD5" w:rsidP="00956BD5">
      <w:pPr>
        <w:pStyle w:val="Listenabsatz"/>
        <w:numPr>
          <w:ilvl w:val="0"/>
          <w:numId w:val="2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sz w:val="26"/>
          <w:szCs w:val="26"/>
        </w:rPr>
        <w:t>Unternehmen geben Aktien heraus, um sich Eigenkapital zu beschaffen.</w:t>
      </w:r>
    </w:p>
    <w:p w:rsidR="00956BD5" w:rsidRDefault="00956BD5" w:rsidP="00956BD5">
      <w:pPr>
        <w:pStyle w:val="Listenabsatz"/>
        <w:numPr>
          <w:ilvl w:val="0"/>
          <w:numId w:val="2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sz w:val="26"/>
          <w:szCs w:val="26"/>
        </w:rPr>
        <w:t>Werden unterteilt in verschiedene Wirtschaftsräume, Branchen und Standartwert</w:t>
      </w:r>
      <w:r w:rsidR="00F24B94">
        <w:rPr>
          <w:rFonts w:ascii="Arial" w:hAnsi="Arial" w:cs="Arial"/>
          <w:sz w:val="26"/>
          <w:szCs w:val="26"/>
        </w:rPr>
        <w:t>e.</w:t>
      </w:r>
    </w:p>
    <w:p w:rsid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956BD5" w:rsidRPr="00956BD5" w:rsidRDefault="00956BD5" w:rsidP="00956BD5">
      <w:pPr>
        <w:spacing w:after="0" w:line="240" w:lineRule="auto"/>
        <w:rPr>
          <w:rFonts w:ascii="Arial" w:hAnsi="Arial" w:cs="Arial"/>
          <w:b/>
          <w:sz w:val="26"/>
          <w:szCs w:val="26"/>
        </w:rPr>
      </w:pPr>
      <w:r w:rsidRPr="00956BD5">
        <w:rPr>
          <w:rFonts w:ascii="Arial" w:hAnsi="Arial" w:cs="Arial"/>
          <w:b/>
          <w:sz w:val="26"/>
          <w:szCs w:val="26"/>
        </w:rPr>
        <w:t>Anleihen:</w:t>
      </w:r>
    </w:p>
    <w:p w:rsidR="00956BD5" w:rsidRPr="00956BD5" w:rsidRDefault="00956BD5" w:rsidP="00956BD5">
      <w:pPr>
        <w:pStyle w:val="Listenabsatz"/>
        <w:numPr>
          <w:ilvl w:val="0"/>
          <w:numId w:val="3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sz w:val="26"/>
          <w:szCs w:val="26"/>
        </w:rPr>
        <w:t>Staaten, Banken und Unternehmen geben Anleihen heraus, um sich Eigenkapital zu beschaffen.</w:t>
      </w:r>
    </w:p>
    <w:p w:rsidR="00956BD5" w:rsidRDefault="00956BD5" w:rsidP="00956BD5">
      <w:pPr>
        <w:pStyle w:val="Listenabsatz"/>
        <w:numPr>
          <w:ilvl w:val="0"/>
          <w:numId w:val="3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sz w:val="26"/>
          <w:szCs w:val="26"/>
        </w:rPr>
        <w:t>Geld wird verliehen und mit Zinsen zurückgezahlt.</w:t>
      </w:r>
    </w:p>
    <w:p w:rsidR="00956BD5" w:rsidRDefault="00956BD5" w:rsidP="00956BD5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F24B94" w:rsidRDefault="00F24B94" w:rsidP="00956BD5">
      <w:pPr>
        <w:spacing w:after="0" w:line="240" w:lineRule="auto"/>
        <w:rPr>
          <w:rFonts w:ascii="Arial" w:hAnsi="Arial" w:cs="Arial"/>
          <w:b/>
          <w:sz w:val="26"/>
          <w:szCs w:val="26"/>
        </w:rPr>
      </w:pPr>
      <w:r w:rsidRPr="00F24B94">
        <w:rPr>
          <w:rFonts w:ascii="Arial" w:hAnsi="Arial" w:cs="Arial"/>
          <w:b/>
          <w:sz w:val="26"/>
          <w:szCs w:val="26"/>
        </w:rPr>
        <w:t>Immobilien</w:t>
      </w:r>
      <w:r>
        <w:rPr>
          <w:rFonts w:ascii="Arial" w:hAnsi="Arial" w:cs="Arial"/>
          <w:b/>
          <w:sz w:val="26"/>
          <w:szCs w:val="26"/>
        </w:rPr>
        <w:t>:</w:t>
      </w:r>
    </w:p>
    <w:p w:rsidR="00000000" w:rsidRPr="00F24B94" w:rsidRDefault="001F14BB" w:rsidP="00F24B94">
      <w:pPr>
        <w:numPr>
          <w:ilvl w:val="0"/>
          <w:numId w:val="8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F24B94">
        <w:rPr>
          <w:rFonts w:ascii="Arial" w:hAnsi="Arial" w:cs="Arial"/>
          <w:sz w:val="26"/>
          <w:szCs w:val="26"/>
        </w:rPr>
        <w:t xml:space="preserve">Kauf einer Immobilie </w:t>
      </w:r>
      <w:r w:rsidRPr="00F24B94">
        <w:rPr>
          <w:rFonts w:ascii="Arial" w:hAnsi="Arial" w:cs="Arial"/>
          <w:sz w:val="26"/>
          <w:szCs w:val="26"/>
        </w:rPr>
        <w:sym w:font="Wingdings" w:char="F0E0"/>
      </w:r>
      <w:r w:rsidRPr="00F24B94">
        <w:rPr>
          <w:rFonts w:ascii="Arial" w:hAnsi="Arial" w:cs="Arial"/>
          <w:sz w:val="26"/>
          <w:szCs w:val="26"/>
        </w:rPr>
        <w:t>Direktinvestition (Mieterträge)</w:t>
      </w:r>
      <w:r w:rsidR="00F24B94">
        <w:rPr>
          <w:rFonts w:ascii="Arial" w:hAnsi="Arial" w:cs="Arial"/>
          <w:sz w:val="26"/>
          <w:szCs w:val="26"/>
        </w:rPr>
        <w:t>.</w:t>
      </w:r>
    </w:p>
    <w:p w:rsidR="00000000" w:rsidRPr="00F24B94" w:rsidRDefault="001F14BB" w:rsidP="00F24B94">
      <w:pPr>
        <w:numPr>
          <w:ilvl w:val="0"/>
          <w:numId w:val="8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F24B94">
        <w:rPr>
          <w:rFonts w:ascii="Arial" w:hAnsi="Arial" w:cs="Arial"/>
          <w:sz w:val="26"/>
          <w:szCs w:val="26"/>
        </w:rPr>
        <w:t>Investition in Immobilienunternehmen (z.B. in Immobilienfonds)</w:t>
      </w:r>
      <w:r w:rsidR="00F24B94">
        <w:rPr>
          <w:rFonts w:ascii="Arial" w:hAnsi="Arial" w:cs="Arial"/>
          <w:sz w:val="26"/>
          <w:szCs w:val="26"/>
        </w:rPr>
        <w:t>.</w:t>
      </w:r>
    </w:p>
    <w:p w:rsidR="00F24B94" w:rsidRDefault="00F24B94" w:rsidP="00956BD5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956BD5" w:rsidRPr="00956BD5" w:rsidRDefault="00956BD5" w:rsidP="00956BD5">
      <w:pPr>
        <w:spacing w:after="0" w:line="240" w:lineRule="auto"/>
        <w:rPr>
          <w:rFonts w:ascii="Arial" w:hAnsi="Arial" w:cs="Arial"/>
          <w:b/>
          <w:sz w:val="26"/>
          <w:szCs w:val="26"/>
        </w:rPr>
      </w:pPr>
      <w:r w:rsidRPr="00956BD5">
        <w:rPr>
          <w:rFonts w:ascii="Arial" w:hAnsi="Arial" w:cs="Arial"/>
          <w:b/>
          <w:sz w:val="26"/>
          <w:szCs w:val="26"/>
        </w:rPr>
        <w:t>Rohstoffe</w:t>
      </w:r>
      <w:r>
        <w:rPr>
          <w:rFonts w:ascii="Arial" w:hAnsi="Arial" w:cs="Arial"/>
          <w:b/>
          <w:sz w:val="26"/>
          <w:szCs w:val="26"/>
        </w:rPr>
        <w:t>:</w:t>
      </w:r>
    </w:p>
    <w:p w:rsidR="00956BD5" w:rsidRPr="00956BD5" w:rsidRDefault="00956BD5" w:rsidP="00956BD5">
      <w:pPr>
        <w:pStyle w:val="Listenabsatz"/>
        <w:numPr>
          <w:ilvl w:val="0"/>
          <w:numId w:val="4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sz w:val="26"/>
          <w:szCs w:val="26"/>
        </w:rPr>
        <w:t>Geldanlage in z.B. Gold und Öl.</w:t>
      </w:r>
    </w:p>
    <w:p w:rsidR="00956BD5" w:rsidRPr="00956BD5" w:rsidRDefault="00956BD5" w:rsidP="00956BD5">
      <w:pPr>
        <w:pStyle w:val="Listenabsatz"/>
        <w:numPr>
          <w:ilvl w:val="0"/>
          <w:numId w:val="4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sz w:val="26"/>
          <w:szCs w:val="26"/>
        </w:rPr>
        <w:t>Rohstoffe gelten als Spekulative Investments</w:t>
      </w:r>
      <w:r w:rsidR="00F24B94">
        <w:rPr>
          <w:rFonts w:ascii="Arial" w:hAnsi="Arial" w:cs="Arial"/>
          <w:sz w:val="26"/>
          <w:szCs w:val="26"/>
        </w:rPr>
        <w:t>.</w:t>
      </w:r>
    </w:p>
    <w:p w:rsidR="00956BD5" w:rsidRPr="00956BD5" w:rsidRDefault="00956BD5" w:rsidP="00956BD5">
      <w:pPr>
        <w:pStyle w:val="Listenabsatz"/>
        <w:numPr>
          <w:ilvl w:val="0"/>
          <w:numId w:val="4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956BD5">
        <w:rPr>
          <w:rFonts w:ascii="Arial" w:hAnsi="Arial" w:cs="Arial"/>
          <w:sz w:val="26"/>
          <w:szCs w:val="26"/>
        </w:rPr>
        <w:t>Grundsätzlich werden bei Rohstoffinvestments vier große Gruppen unterschieden: Agrarrohstoffe, Edelmetalle, Industriemetalle und Energierohstoffe.</w:t>
      </w:r>
    </w:p>
    <w:p w:rsidR="00956BD5" w:rsidRDefault="00956BD5" w:rsidP="005A2B40">
      <w:pPr>
        <w:pStyle w:val="Listenabsatz"/>
        <w:numPr>
          <w:ilvl w:val="0"/>
          <w:numId w:val="4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5A2B40">
        <w:rPr>
          <w:rFonts w:ascii="Arial" w:hAnsi="Arial" w:cs="Arial"/>
          <w:sz w:val="26"/>
          <w:szCs w:val="26"/>
        </w:rPr>
        <w:t>Geldanlage erfolgt z.B. in die zukünftigen Kurse/Preise.</w:t>
      </w:r>
    </w:p>
    <w:p w:rsidR="005A2B40" w:rsidRDefault="005A2B40" w:rsidP="005A2B40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5A2B40" w:rsidRPr="005A2B40" w:rsidRDefault="005A2B40" w:rsidP="005A2B40">
      <w:pPr>
        <w:spacing w:after="0" w:line="240" w:lineRule="auto"/>
        <w:rPr>
          <w:rFonts w:ascii="Arial" w:hAnsi="Arial" w:cs="Arial"/>
          <w:b/>
          <w:sz w:val="26"/>
          <w:szCs w:val="26"/>
        </w:rPr>
      </w:pPr>
      <w:r w:rsidRPr="005A2B40">
        <w:rPr>
          <w:rFonts w:ascii="Arial" w:hAnsi="Arial" w:cs="Arial"/>
          <w:b/>
          <w:sz w:val="26"/>
          <w:szCs w:val="26"/>
        </w:rPr>
        <w:t>Devisen</w:t>
      </w:r>
      <w:r>
        <w:rPr>
          <w:rFonts w:ascii="Arial" w:hAnsi="Arial" w:cs="Arial"/>
          <w:b/>
          <w:sz w:val="26"/>
          <w:szCs w:val="26"/>
        </w:rPr>
        <w:t>:</w:t>
      </w:r>
    </w:p>
    <w:p w:rsidR="005A2B40" w:rsidRDefault="005A2B40" w:rsidP="005A2B40">
      <w:pPr>
        <w:pStyle w:val="Listenabsatz"/>
        <w:numPr>
          <w:ilvl w:val="0"/>
          <w:numId w:val="5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5A2B40">
        <w:rPr>
          <w:rFonts w:ascii="Arial" w:hAnsi="Arial" w:cs="Arial"/>
          <w:sz w:val="26"/>
          <w:szCs w:val="26"/>
        </w:rPr>
        <w:t>Investition in Fremdwährungen</w:t>
      </w:r>
      <w:r w:rsidR="00F24B94">
        <w:rPr>
          <w:rFonts w:ascii="Arial" w:hAnsi="Arial" w:cs="Arial"/>
          <w:sz w:val="26"/>
          <w:szCs w:val="26"/>
        </w:rPr>
        <w:t xml:space="preserve"> (außer Sorten)</w:t>
      </w:r>
    </w:p>
    <w:p w:rsidR="005A2B40" w:rsidRDefault="005A2B40" w:rsidP="005A2B40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F24B94" w:rsidRDefault="00F24B94">
      <w:pPr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br w:type="page"/>
      </w:r>
    </w:p>
    <w:p w:rsidR="005A2B40" w:rsidRPr="005A2B40" w:rsidRDefault="005A2B40" w:rsidP="005A2B40">
      <w:pPr>
        <w:spacing w:after="0" w:line="240" w:lineRule="auto"/>
        <w:rPr>
          <w:rFonts w:ascii="Arial" w:hAnsi="Arial" w:cs="Arial"/>
          <w:b/>
          <w:sz w:val="26"/>
          <w:szCs w:val="26"/>
        </w:rPr>
      </w:pPr>
      <w:r w:rsidRPr="005A2B40">
        <w:rPr>
          <w:rFonts w:ascii="Arial" w:hAnsi="Arial" w:cs="Arial"/>
          <w:b/>
          <w:sz w:val="26"/>
          <w:szCs w:val="26"/>
        </w:rPr>
        <w:lastRenderedPageBreak/>
        <w:t>Derivate:</w:t>
      </w:r>
    </w:p>
    <w:p w:rsidR="005A2B40" w:rsidRPr="005A2B40" w:rsidRDefault="005A2B40" w:rsidP="005A2B40">
      <w:pPr>
        <w:pStyle w:val="Listenabsatz"/>
        <w:numPr>
          <w:ilvl w:val="0"/>
          <w:numId w:val="5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5A2B40">
        <w:rPr>
          <w:rFonts w:ascii="Arial" w:hAnsi="Arial" w:cs="Arial"/>
          <w:sz w:val="26"/>
          <w:szCs w:val="26"/>
        </w:rPr>
        <w:t>Beziehen sich auf Basiswerte z.B. Dax und dessen Entwicklung</w:t>
      </w:r>
    </w:p>
    <w:p w:rsidR="005A2B40" w:rsidRPr="005A2B40" w:rsidRDefault="005A2B40" w:rsidP="005A2B40">
      <w:pPr>
        <w:pStyle w:val="Listenabsatz"/>
        <w:numPr>
          <w:ilvl w:val="0"/>
          <w:numId w:val="6"/>
        </w:numPr>
        <w:spacing w:after="0" w:line="240" w:lineRule="auto"/>
        <w:rPr>
          <w:rFonts w:ascii="Arial" w:hAnsi="Arial" w:cs="Arial"/>
          <w:sz w:val="26"/>
          <w:szCs w:val="26"/>
        </w:rPr>
      </w:pPr>
      <w:r w:rsidRPr="005A2B40">
        <w:rPr>
          <w:rFonts w:ascii="Arial" w:hAnsi="Arial" w:cs="Arial"/>
          <w:sz w:val="26"/>
          <w:szCs w:val="26"/>
        </w:rPr>
        <w:t>(Dax ist Stand heute bei 10.000 Punkten und i</w:t>
      </w:r>
      <w:r w:rsidR="00F24B94">
        <w:rPr>
          <w:rFonts w:ascii="Arial" w:hAnsi="Arial" w:cs="Arial"/>
          <w:sz w:val="26"/>
          <w:szCs w:val="26"/>
        </w:rPr>
        <w:t>n einem Jahr bei 11.000 Punkten)</w:t>
      </w:r>
    </w:p>
    <w:p w:rsidR="005A2B40" w:rsidRDefault="005A2B40" w:rsidP="005A2B40">
      <w:pPr>
        <w:pStyle w:val="Listenabsatz"/>
        <w:numPr>
          <w:ilvl w:val="0"/>
          <w:numId w:val="6"/>
        </w:numPr>
        <w:spacing w:after="0" w:line="24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Gewinn von 10%, die</w:t>
      </w:r>
      <w:r w:rsidRPr="005A2B40">
        <w:rPr>
          <w:rFonts w:ascii="Arial" w:hAnsi="Arial" w:cs="Arial"/>
          <w:sz w:val="26"/>
          <w:szCs w:val="26"/>
        </w:rPr>
        <w:t xml:space="preserve"> e</w:t>
      </w:r>
      <w:r w:rsidR="00F24B94">
        <w:rPr>
          <w:rFonts w:ascii="Arial" w:hAnsi="Arial" w:cs="Arial"/>
          <w:sz w:val="26"/>
          <w:szCs w:val="26"/>
        </w:rPr>
        <w:t>inzelnen Aktien wären mehr Wert.</w:t>
      </w:r>
    </w:p>
    <w:p w:rsidR="005A2B40" w:rsidRDefault="005A2B40" w:rsidP="005A2B40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5A2B40" w:rsidRDefault="005A2B40" w:rsidP="005A2B40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5A2B40" w:rsidRPr="005A2B40" w:rsidRDefault="005A2B40" w:rsidP="005A2B40">
      <w:pPr>
        <w:spacing w:after="0" w:line="240" w:lineRule="auto"/>
        <w:rPr>
          <w:rFonts w:ascii="Arial" w:hAnsi="Arial" w:cs="Arial"/>
          <w:b/>
          <w:sz w:val="32"/>
          <w:szCs w:val="26"/>
        </w:rPr>
      </w:pPr>
      <w:r w:rsidRPr="005A2B40">
        <w:rPr>
          <w:rFonts w:ascii="Arial" w:hAnsi="Arial" w:cs="Arial"/>
          <w:b/>
          <w:sz w:val="32"/>
          <w:szCs w:val="26"/>
        </w:rPr>
        <w:t>Anlagestrategie:</w:t>
      </w:r>
    </w:p>
    <w:p w:rsidR="005A2B40" w:rsidRDefault="005A2B40" w:rsidP="005A2B40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5A2B40" w:rsidRPr="005A2B40" w:rsidRDefault="005A2B40" w:rsidP="005A2B40">
      <w:pPr>
        <w:spacing w:after="0" w:line="240" w:lineRule="auto"/>
        <w:rPr>
          <w:rFonts w:ascii="Arial" w:hAnsi="Arial" w:cs="Arial"/>
          <w:b/>
          <w:sz w:val="26"/>
          <w:szCs w:val="26"/>
        </w:rPr>
      </w:pPr>
      <w:r w:rsidRPr="005A2B40">
        <w:rPr>
          <w:rFonts w:ascii="Arial" w:hAnsi="Arial" w:cs="Arial"/>
          <w:b/>
          <w:sz w:val="26"/>
          <w:szCs w:val="26"/>
        </w:rPr>
        <w:t>Fokussierung:</w:t>
      </w:r>
    </w:p>
    <w:p w:rsidR="005A2B40" w:rsidRDefault="005A2B40" w:rsidP="005A2B40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5A2B40" w:rsidRDefault="005A2B40" w:rsidP="005A2B40">
      <w:pPr>
        <w:spacing w:after="0" w:line="24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Der Anleger beschränkt/fokussiert sich </w:t>
      </w:r>
      <w:r w:rsidRPr="005A2B40">
        <w:rPr>
          <w:rFonts w:ascii="Arial" w:hAnsi="Arial" w:cs="Arial"/>
          <w:sz w:val="26"/>
          <w:szCs w:val="26"/>
        </w:rPr>
        <w:t>auf bestimmte Anlagesektoren, in denen der Anleger eine besonders hohe Rendite erwartet oder bei denen er ein geringes Risiko sieht</w:t>
      </w:r>
      <w:r>
        <w:rPr>
          <w:rFonts w:ascii="Arial" w:hAnsi="Arial" w:cs="Arial"/>
          <w:sz w:val="26"/>
          <w:szCs w:val="26"/>
        </w:rPr>
        <w:t>.</w:t>
      </w:r>
    </w:p>
    <w:p w:rsidR="005A2B40" w:rsidRDefault="005A2B40" w:rsidP="005A2B40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5A2B40" w:rsidRPr="005A2B40" w:rsidRDefault="005A2B40" w:rsidP="005A2B40">
      <w:pPr>
        <w:spacing w:after="0" w:line="240" w:lineRule="auto"/>
        <w:rPr>
          <w:rFonts w:ascii="Arial" w:hAnsi="Arial" w:cs="Arial"/>
          <w:b/>
          <w:sz w:val="26"/>
          <w:szCs w:val="26"/>
        </w:rPr>
      </w:pPr>
      <w:r w:rsidRPr="005A2B40">
        <w:rPr>
          <w:rFonts w:ascii="Arial" w:hAnsi="Arial" w:cs="Arial"/>
          <w:b/>
          <w:sz w:val="26"/>
          <w:szCs w:val="26"/>
        </w:rPr>
        <w:t>Diversifikation:</w:t>
      </w:r>
    </w:p>
    <w:p w:rsidR="005A2B40" w:rsidRDefault="005A2B40" w:rsidP="005A2B40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5A2B40" w:rsidRDefault="005A2B40" w:rsidP="005A2B40">
      <w:pPr>
        <w:spacing w:after="0" w:line="24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Um eine gute Mischung zwischen einem hohen Ertrag</w:t>
      </w:r>
      <w:r w:rsidR="00F24B94">
        <w:rPr>
          <w:rFonts w:ascii="Arial" w:hAnsi="Arial" w:cs="Arial"/>
          <w:sz w:val="26"/>
          <w:szCs w:val="26"/>
        </w:rPr>
        <w:t xml:space="preserve"> und einem geringem Risiko zu e</w:t>
      </w:r>
      <w:r>
        <w:rPr>
          <w:rFonts w:ascii="Arial" w:hAnsi="Arial" w:cs="Arial"/>
          <w:sz w:val="26"/>
          <w:szCs w:val="26"/>
        </w:rPr>
        <w:t xml:space="preserve">rreichen, legt der Anleger sein Kapital nicht wahllos in eine Anlageklasse an, sondern verteilt </w:t>
      </w:r>
      <w:r w:rsidR="00F24B94">
        <w:rPr>
          <w:rFonts w:ascii="Arial" w:hAnsi="Arial" w:cs="Arial"/>
          <w:sz w:val="26"/>
          <w:szCs w:val="26"/>
        </w:rPr>
        <w:t>Sie</w:t>
      </w:r>
      <w:r>
        <w:rPr>
          <w:rFonts w:ascii="Arial" w:hAnsi="Arial" w:cs="Arial"/>
          <w:sz w:val="26"/>
          <w:szCs w:val="26"/>
        </w:rPr>
        <w:t xml:space="preserve"> in verschiedene Klassen. Das Ziel ist hier</w:t>
      </w:r>
      <w:r w:rsidR="001F14BB">
        <w:rPr>
          <w:rFonts w:ascii="Arial" w:hAnsi="Arial" w:cs="Arial"/>
          <w:sz w:val="26"/>
          <w:szCs w:val="26"/>
        </w:rPr>
        <w:t>,</w:t>
      </w:r>
      <w:r>
        <w:rPr>
          <w:rFonts w:ascii="Arial" w:hAnsi="Arial" w:cs="Arial"/>
          <w:sz w:val="26"/>
          <w:szCs w:val="26"/>
        </w:rPr>
        <w:t xml:space="preserve"> durch die Aufteilung des Kapitals</w:t>
      </w:r>
      <w:r w:rsidR="00F24B94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auf verschiedene Anlageklassen</w:t>
      </w:r>
      <w:r w:rsidR="001F14BB">
        <w:rPr>
          <w:rFonts w:ascii="Arial" w:hAnsi="Arial" w:cs="Arial"/>
          <w:sz w:val="26"/>
          <w:szCs w:val="26"/>
        </w:rPr>
        <w:t>,</w:t>
      </w:r>
      <w:bookmarkStart w:id="0" w:name="_GoBack"/>
      <w:bookmarkEnd w:id="0"/>
      <w:r>
        <w:rPr>
          <w:rFonts w:ascii="Arial" w:hAnsi="Arial" w:cs="Arial"/>
          <w:sz w:val="26"/>
          <w:szCs w:val="26"/>
        </w:rPr>
        <w:t xml:space="preserve"> ein gewünschtes Risiko/Rendite-Verhältnis zu erreichen.</w:t>
      </w:r>
    </w:p>
    <w:p w:rsidR="00F24B94" w:rsidRDefault="00F24B94" w:rsidP="005A2B40">
      <w:pPr>
        <w:spacing w:after="0" w:line="240" w:lineRule="auto"/>
        <w:rPr>
          <w:rFonts w:ascii="Arial" w:hAnsi="Arial" w:cs="Arial"/>
          <w:sz w:val="26"/>
          <w:szCs w:val="26"/>
        </w:rPr>
      </w:pPr>
    </w:p>
    <w:p w:rsidR="00F24B94" w:rsidRPr="005A2B40" w:rsidRDefault="001F14BB" w:rsidP="005A2B40">
      <w:pPr>
        <w:spacing w:after="0" w:line="24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noProof/>
          <w:sz w:val="26"/>
          <w:szCs w:val="26"/>
          <w:lang w:eastAsia="de-DE"/>
        </w:rPr>
        <w:drawing>
          <wp:anchor distT="0" distB="0" distL="114300" distR="114300" simplePos="0" relativeHeight="251658240" behindDoc="1" locked="0" layoutInCell="1" allowOverlap="1" wp14:anchorId="7F4F6899" wp14:editId="246CA47A">
            <wp:simplePos x="0" y="0"/>
            <wp:positionH relativeFrom="column">
              <wp:posOffset>-4445</wp:posOffset>
            </wp:positionH>
            <wp:positionV relativeFrom="paragraph">
              <wp:posOffset>742950</wp:posOffset>
            </wp:positionV>
            <wp:extent cx="5760720" cy="3207385"/>
            <wp:effectExtent l="0" t="0" r="0" b="0"/>
            <wp:wrapTight wrapText="bothSides">
              <wp:wrapPolygon edited="0">
                <wp:start x="0" y="0"/>
                <wp:lineTo x="0" y="21425"/>
                <wp:lineTo x="21500" y="21425"/>
                <wp:lineTo x="21500" y="0"/>
                <wp:lineTo x="0" y="0"/>
              </wp:wrapPolygon>
            </wp:wrapTight>
            <wp:docPr id="1" name="Grafik 1" descr="C:\Users\YAMANSU.CDM\Desktop\Bildschirmfoto-2013-07-31-um-14_38_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AMANSU.CDM\Desktop\Bildschirmfoto-2013-07-31-um-14_38_20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07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24B94" w:rsidRPr="005A2B4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25A11"/>
    <w:multiLevelType w:val="hybridMultilevel"/>
    <w:tmpl w:val="B2ACE5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4B17C6"/>
    <w:multiLevelType w:val="hybridMultilevel"/>
    <w:tmpl w:val="57BAF9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A07D9D"/>
    <w:multiLevelType w:val="hybridMultilevel"/>
    <w:tmpl w:val="A12ED6C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E72553"/>
    <w:multiLevelType w:val="hybridMultilevel"/>
    <w:tmpl w:val="522E0F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76B6E9A"/>
    <w:multiLevelType w:val="hybridMultilevel"/>
    <w:tmpl w:val="A4C0EBB2"/>
    <w:lvl w:ilvl="0" w:tplc="D43EE5C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B8275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048FA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D443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B60E0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0E2A4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40AF28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766C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CB866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622B5D1C"/>
    <w:multiLevelType w:val="hybridMultilevel"/>
    <w:tmpl w:val="7C76387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FD45C17"/>
    <w:multiLevelType w:val="hybridMultilevel"/>
    <w:tmpl w:val="3FCCFB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F855864"/>
    <w:multiLevelType w:val="hybridMultilevel"/>
    <w:tmpl w:val="7CFAEAEA"/>
    <w:lvl w:ilvl="0" w:tplc="94A61F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91871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36A4D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E10ED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8B0AD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A4CFA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EE86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00D1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00841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5"/>
  </w:num>
  <w:num w:numId="5">
    <w:abstractNumId w:val="6"/>
  </w:num>
  <w:num w:numId="6">
    <w:abstractNumId w:val="1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BD5"/>
    <w:rsid w:val="00116275"/>
    <w:rsid w:val="001F14BB"/>
    <w:rsid w:val="005A2B40"/>
    <w:rsid w:val="00956BD5"/>
    <w:rsid w:val="00F24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956BD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24B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24B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956BD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24B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24B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471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810021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64395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33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961387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44763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Euro Information client principal</Company>
  <LinksUpToDate>false</LinksUpToDate>
  <CharactersWithSpaces>2239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YAMAN Sueleyman Can</dc:creator>
  <cp:lastModifiedBy>YAMAN Sueleyman Can</cp:lastModifiedBy>
  <cp:revision>2</cp:revision>
  <dcterms:created xsi:type="dcterms:W3CDTF">2016-08-23T14:01:00Z</dcterms:created>
  <dcterms:modified xsi:type="dcterms:W3CDTF">2016-08-23T14:01:00Z</dcterms:modified>
</cp:coreProperties>
</file>