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0A8" w:rsidRDefault="00260432">
      <w:r>
        <w:t>Montag, 16.03.2009</w:t>
      </w:r>
      <w:r>
        <w:br/>
      </w:r>
      <w:r>
        <w:br/>
        <w:t xml:space="preserve">Aktuelles zum </w:t>
      </w:r>
      <w:proofErr w:type="spellStart"/>
      <w:r>
        <w:t>Madoff</w:t>
      </w:r>
      <w:proofErr w:type="spellEnd"/>
      <w:r>
        <w:t>-Skandal</w:t>
      </w:r>
      <w:r>
        <w:br/>
      </w:r>
      <w:r>
        <w:br/>
      </w:r>
      <w:r>
        <w:br/>
        <w:t>Sehr geehrte Damen und Herren</w:t>
      </w:r>
      <w:proofErr w:type="gramStart"/>
      <w:r>
        <w:t>,</w:t>
      </w:r>
      <w:proofErr w:type="gramEnd"/>
      <w:r>
        <w:br/>
      </w:r>
      <w:r>
        <w:br/>
        <w:t xml:space="preserve">es gibt ein paar neue Entwicklungen über die weitere Vorgehensweise im Zusammenhang mit den </w:t>
      </w:r>
      <w:proofErr w:type="spellStart"/>
      <w:r>
        <w:t>Madoff</w:t>
      </w:r>
      <w:proofErr w:type="spellEnd"/>
      <w:r>
        <w:t xml:space="preserve">-geschädigten Zielfondsinvestments in den Teilfonds des BG </w:t>
      </w:r>
      <w:proofErr w:type="spellStart"/>
      <w:r>
        <w:t>Umbrella</w:t>
      </w:r>
      <w:proofErr w:type="spellEnd"/>
      <w:r>
        <w:t xml:space="preserve"> Fund, worüber ich Sie informieren möchte.</w:t>
      </w:r>
      <w:r>
        <w:br/>
      </w:r>
      <w:r>
        <w:br/>
        <w:t xml:space="preserve">Die Rechte der Anleger des BG </w:t>
      </w:r>
      <w:proofErr w:type="spellStart"/>
      <w:r>
        <w:t>Umbrella</w:t>
      </w:r>
      <w:proofErr w:type="spellEnd"/>
      <w:r>
        <w:t xml:space="preserve"> Fund, die am 17.12.2008 in den Teilfonds des BG </w:t>
      </w:r>
      <w:proofErr w:type="spellStart"/>
      <w:r>
        <w:t>Umbrella</w:t>
      </w:r>
      <w:proofErr w:type="spellEnd"/>
      <w:r>
        <w:t xml:space="preserve"> Fund investiert waren, auf die etwaige Wertaufholung der </w:t>
      </w:r>
      <w:proofErr w:type="spellStart"/>
      <w:r>
        <w:t>Madoff</w:t>
      </w:r>
      <w:proofErr w:type="spellEnd"/>
      <w:r>
        <w:t xml:space="preserve">-geschädigten Zielfondsinvestments werden über ein eigenes Anspruchsrecht („Bezugsrecht“) gesichert. Das Bezugsrecht wird eine eigene ISIN erhalten und verbrieft die Rückflüsse aus den </w:t>
      </w:r>
      <w:proofErr w:type="spellStart"/>
      <w:r>
        <w:t>Madoff</w:t>
      </w:r>
      <w:proofErr w:type="spellEnd"/>
      <w:r>
        <w:t>-geschädigten Zielfondsinvestments.</w:t>
      </w:r>
      <w:r>
        <w:br/>
      </w:r>
      <w:r>
        <w:br/>
        <w:t xml:space="preserve">Das Bezugsrecht verbrieft die genannten Ansprüche als so genannte „Nettoansprüche“, d.h. der Anspruchsberechtigte hat Anspruch auf Auszahlung der Rückflüsse aus den </w:t>
      </w:r>
      <w:proofErr w:type="spellStart"/>
      <w:r>
        <w:t>Madoff</w:t>
      </w:r>
      <w:proofErr w:type="spellEnd"/>
      <w:r>
        <w:t xml:space="preserve">-geschädigten Zielfondsinvestments abzüglich der mit der Einforderung der Rückflüsse verbundenen Kosten, wie z.B. Rechtsanwalts-, Gerichts- oder sonstigen Kosten (z.B. Kosten der Hausbanken). Das Bezugsverhältnis wird 1:1 auf den jeweiligen Anteilbestand der Teilfonds des BG </w:t>
      </w:r>
      <w:proofErr w:type="spellStart"/>
      <w:r>
        <w:t>Umbrella</w:t>
      </w:r>
      <w:proofErr w:type="spellEnd"/>
      <w:r>
        <w:t xml:space="preserve"> Fund ausgegeben.</w:t>
      </w:r>
      <w:r>
        <w:br/>
      </w:r>
      <w:r>
        <w:br/>
        <w:t xml:space="preserve">Die detaillierte Ausgestaltung des Bezugsrechts wird noch separat bekannt gegeben. Die Anleger erhalten die Erlöse aus den Bezugsrechten in Geld ausgezahlt. Sofern die Anleger ihre Erlöse aus den Bezugsrechten wieder in Teilfonds des BG </w:t>
      </w:r>
      <w:proofErr w:type="spellStart"/>
      <w:r>
        <w:t>Umbrella</w:t>
      </w:r>
      <w:proofErr w:type="spellEnd"/>
      <w:r>
        <w:t xml:space="preserve"> Fund investieren möchten, haben sie die Möglichkeit dies ohne Ausgabeaufschlag zu tun.</w:t>
      </w:r>
      <w:r>
        <w:br/>
      </w:r>
      <w:r>
        <w:br/>
        <w:t xml:space="preserve">Anleger des BG </w:t>
      </w:r>
      <w:proofErr w:type="spellStart"/>
      <w:r>
        <w:t>Umbrella</w:t>
      </w:r>
      <w:proofErr w:type="spellEnd"/>
      <w:r>
        <w:t xml:space="preserve"> Fund, die nach dem 17.12.2008 in den BG </w:t>
      </w:r>
      <w:proofErr w:type="spellStart"/>
      <w:r>
        <w:t>Umbrella</w:t>
      </w:r>
      <w:proofErr w:type="spellEnd"/>
      <w:r>
        <w:t xml:space="preserve"> Fund investieren, profitieren nicht von einer Wertaufholung der in den Teilfonds des BG </w:t>
      </w:r>
      <w:proofErr w:type="spellStart"/>
      <w:r>
        <w:t>Umbrella</w:t>
      </w:r>
      <w:proofErr w:type="spellEnd"/>
      <w:r>
        <w:t xml:space="preserve"> Fund weiterhin als Erinnerungsposten mit einer Nullbewertung ausgewiesenen </w:t>
      </w:r>
      <w:proofErr w:type="spellStart"/>
      <w:r>
        <w:t>Madoff</w:t>
      </w:r>
      <w:proofErr w:type="spellEnd"/>
      <w:r>
        <w:t>-geschädigten Zielfondsinvestments. Das Bezugsrecht bleibt solange bestehen, bis keine Wertaufholungen mehr zu erwarten sind.</w:t>
      </w:r>
      <w:r>
        <w:br/>
      </w:r>
      <w:r>
        <w:br/>
        <w:t xml:space="preserve">Durch die vorgenannte Vorgehensweise ist gewährleistet, dass das Anspruchsrecht der betroffenen Kunden auch nach der Wiederaufnahme des Anteilscheingeschäfts und der </w:t>
      </w:r>
      <w:proofErr w:type="spellStart"/>
      <w:r>
        <w:t>Fondspreisberechung</w:t>
      </w:r>
      <w:proofErr w:type="spellEnd"/>
      <w:r>
        <w:t xml:space="preserve"> der Teilfonds des BG </w:t>
      </w:r>
      <w:proofErr w:type="spellStart"/>
      <w:r>
        <w:t>Umbrella</w:t>
      </w:r>
      <w:proofErr w:type="spellEnd"/>
      <w:r>
        <w:t xml:space="preserve"> Funds gewahrt bleibt.</w:t>
      </w:r>
      <w:r>
        <w:br/>
      </w:r>
      <w:r>
        <w:br/>
        <w:t xml:space="preserve">Über die Anteile des BG </w:t>
      </w:r>
      <w:proofErr w:type="spellStart"/>
      <w:r>
        <w:t>Umbrella</w:t>
      </w:r>
      <w:proofErr w:type="spellEnd"/>
      <w:r>
        <w:t xml:space="preserve"> Fund können die Kunden nach der Wiederaufnahme des Anteilscheingeschäfts und der Preisberechnung frei verfügen. Ab diesem Zeitpunkt werden die Sparpläne wie gewohnt wieder eingezogen. Die bis dahin eingegangenen Aufträge sind noch aktiv und werden nach dem Eingangsdatum abgearbeitet, sofern kein Widerspruch vorliegt.</w:t>
      </w:r>
      <w:r>
        <w:br/>
      </w:r>
      <w:r>
        <w:br/>
        <w:t xml:space="preserve">Die Preisberechnung kann jedoch frühestens erst wieder aufgenommen werden, wenn die technische Umsetzung im Zusammenhang mit der </w:t>
      </w:r>
      <w:proofErr w:type="spellStart"/>
      <w:r>
        <w:t>Einbuchung</w:t>
      </w:r>
      <w:proofErr w:type="spellEnd"/>
      <w:r>
        <w:t xml:space="preserve"> der Bezugsrechte sichergestellt ist. Die </w:t>
      </w:r>
      <w:r>
        <w:lastRenderedPageBreak/>
        <w:t xml:space="preserve">LRI </w:t>
      </w:r>
      <w:proofErr w:type="spellStart"/>
      <w:r>
        <w:t>Invest</w:t>
      </w:r>
      <w:proofErr w:type="spellEnd"/>
      <w:r>
        <w:t xml:space="preserve"> S.A. arbeitet daran, die Fonds so schnell wie möglich wieder zu öffnen. Vom jetzigen Zeitpunkt aus kann ein genauer Termin allerdings noch nicht genannt werden. Ich werde Sie über den jeweils aktuellen Stand informieren.</w:t>
      </w:r>
      <w:r>
        <w:br/>
      </w:r>
      <w:r>
        <w:br/>
        <w:t xml:space="preserve">Wie ich Ihnen ja schon im letzten Newsletter mitgeteilt habe, hat die LRI </w:t>
      </w:r>
      <w:proofErr w:type="spellStart"/>
      <w:r>
        <w:t>Invest</w:t>
      </w:r>
      <w:proofErr w:type="spellEnd"/>
      <w:r>
        <w:t xml:space="preserve"> S.A. mit der Verwaltungsgesellschaft </w:t>
      </w:r>
      <w:proofErr w:type="spellStart"/>
      <w:r>
        <w:t>Axxion</w:t>
      </w:r>
      <w:proofErr w:type="spellEnd"/>
      <w:r>
        <w:t xml:space="preserve"> S.A. die Bildung einer Interessengemeinschaft von Aktionären des </w:t>
      </w:r>
      <w:proofErr w:type="spellStart"/>
      <w:r>
        <w:t>Herald</w:t>
      </w:r>
      <w:proofErr w:type="spellEnd"/>
      <w:r>
        <w:t xml:space="preserve"> (LUX) angestrebt. Dieser Schritt ist nun vollzogen worden.</w:t>
      </w:r>
      <w:r>
        <w:br/>
      </w:r>
      <w:r>
        <w:br/>
        <w:t xml:space="preserve">Am 6. Februar 2009 hat die LRI </w:t>
      </w:r>
      <w:proofErr w:type="spellStart"/>
      <w:r>
        <w:t>Invest</w:t>
      </w:r>
      <w:proofErr w:type="spellEnd"/>
      <w:r>
        <w:t xml:space="preserve"> S.A. an den Verwaltungsrat der </w:t>
      </w:r>
      <w:proofErr w:type="spellStart"/>
      <w:r>
        <w:t>Sicav</w:t>
      </w:r>
      <w:proofErr w:type="spellEnd"/>
      <w:r>
        <w:t xml:space="preserve"> </w:t>
      </w:r>
      <w:proofErr w:type="spellStart"/>
      <w:r>
        <w:t>Herald</w:t>
      </w:r>
      <w:proofErr w:type="spellEnd"/>
      <w:r>
        <w:t xml:space="preserve"> (Lux) das Aktionärsbegehren gerichtet, in welchem sie die Einberufung einer außerordentlichen Gesellschafterversammlung des </w:t>
      </w:r>
      <w:proofErr w:type="spellStart"/>
      <w:r>
        <w:t>Herald</w:t>
      </w:r>
      <w:proofErr w:type="spellEnd"/>
      <w:r>
        <w:t xml:space="preserve"> (LUX) binnen Monatsfrist verlangte. Im Rahmen dieser Versammlung sollte der Verwaltungsrat der </w:t>
      </w:r>
      <w:proofErr w:type="spellStart"/>
      <w:r>
        <w:t>Sicav</w:t>
      </w:r>
      <w:proofErr w:type="spellEnd"/>
      <w:r>
        <w:t xml:space="preserve"> den Aktionären des </w:t>
      </w:r>
      <w:proofErr w:type="spellStart"/>
      <w:r>
        <w:t>Herald</w:t>
      </w:r>
      <w:proofErr w:type="spellEnd"/>
      <w:r>
        <w:t xml:space="preserve"> (LUX) insbesondere Auskunft über den Verbleib des Fondsvermögens, die Organisationsstruktur, das Vertragswerk und die Verantwortlichkeiten innerhalb der </w:t>
      </w:r>
      <w:proofErr w:type="spellStart"/>
      <w:r>
        <w:t>Sicav</w:t>
      </w:r>
      <w:proofErr w:type="spellEnd"/>
      <w:r>
        <w:t xml:space="preserve"> geben.</w:t>
      </w:r>
      <w:r>
        <w:br/>
      </w:r>
      <w:r>
        <w:br/>
        <w:t xml:space="preserve">Der Verwaltungsrat der </w:t>
      </w:r>
      <w:proofErr w:type="spellStart"/>
      <w:r>
        <w:t>Sicav</w:t>
      </w:r>
      <w:proofErr w:type="spellEnd"/>
      <w:r>
        <w:t xml:space="preserve"> </w:t>
      </w:r>
      <w:proofErr w:type="spellStart"/>
      <w:r>
        <w:t>Herald</w:t>
      </w:r>
      <w:proofErr w:type="spellEnd"/>
      <w:r>
        <w:t xml:space="preserve"> (Lux) hat es jedoch unterlassen, die Gesellschafterversammlung fristgemäß einzuberufen. Zwischenzeitlich hat die luxemburgische Finanzaufsichtsbehörde, die CSSF, am 10. Februar 2009 die </w:t>
      </w:r>
      <w:proofErr w:type="spellStart"/>
      <w:r>
        <w:t>Sicav</w:t>
      </w:r>
      <w:proofErr w:type="spellEnd"/>
      <w:r>
        <w:t xml:space="preserve"> von der offiziellen Liste genommen. Aus heutiger Sicht ist damit zu rechnen, dass Mitte des Monats März ein gerichtlich bestellter Liquidator zur Abwicklung der </w:t>
      </w:r>
      <w:proofErr w:type="spellStart"/>
      <w:r>
        <w:t>Sicav</w:t>
      </w:r>
      <w:proofErr w:type="spellEnd"/>
      <w:r>
        <w:t xml:space="preserve"> eingesetzt wird. Dieser übernimmt sodann die bisherigen Funktionen des Verwaltungsrates.</w:t>
      </w:r>
      <w:r>
        <w:br/>
      </w:r>
      <w:r>
        <w:br/>
        <w:t xml:space="preserve">Jedoch steht die Einsetzung eines Liquidators nicht der Einberufung der außerordentlichen Gesellschafterversammlung entgegen. Um die Zeit bis zur Einsetzung des Liquidators nicht ungenutzt verstreichen zu lassen, hat die LRI </w:t>
      </w:r>
      <w:proofErr w:type="spellStart"/>
      <w:r>
        <w:t>Invest</w:t>
      </w:r>
      <w:proofErr w:type="spellEnd"/>
      <w:r>
        <w:t xml:space="preserve"> S.A. am 2. März 2009 über die von ihr beauftragte Kanzlei </w:t>
      </w:r>
      <w:proofErr w:type="spellStart"/>
      <w:r>
        <w:t>Wildgen</w:t>
      </w:r>
      <w:proofErr w:type="spellEnd"/>
      <w:r>
        <w:t xml:space="preserve"> &amp; Partner, Luxemburg, beim zuständigen Bezirksgericht in Luxemburg einen Eilantrag einreichen lassen. Erklärtes Ziel ist weiterhin die Durchsetzung des Aktionärsbegehrens, d.h. die Einberufung der außerordentlichen Gesellschafterversammlung. Es ist damit zu rechnen, dass innerhalb der nächsten Tage eine gerichtliche Eilentscheidung getroffen wird.</w:t>
      </w:r>
      <w:r>
        <w:br/>
      </w:r>
      <w:r>
        <w:br/>
      </w:r>
      <w:r>
        <w:br/>
      </w:r>
      <w:r>
        <w:br/>
        <w:t xml:space="preserve">Ihr Bernd </w:t>
      </w:r>
      <w:proofErr w:type="spellStart"/>
      <w:r>
        <w:t>Greisinger</w:t>
      </w:r>
      <w:proofErr w:type="spellEnd"/>
    </w:p>
    <w:sectPr w:rsidR="00B360A8" w:rsidSect="00B360A8">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60432"/>
    <w:rsid w:val="00260432"/>
    <w:rsid w:val="00B360A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B360A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656</Words>
  <Characters>4136</Characters>
  <Application>Microsoft Office Word</Application>
  <DocSecurity>0</DocSecurity>
  <Lines>34</Lines>
  <Paragraphs>9</Paragraphs>
  <ScaleCrop>false</ScaleCrop>
  <Company/>
  <LinksUpToDate>false</LinksUpToDate>
  <CharactersWithSpaces>4783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Domenik</dc:creator>
  <cp:lastModifiedBy>Domenik</cp:lastModifiedBy>
  <cp:revision>1</cp:revision>
  <dcterms:created xsi:type="dcterms:W3CDTF">2009-11-06T17:44:00Z</dcterms:created>
  <dcterms:modified xsi:type="dcterms:W3CDTF">2009-11-06T17:44:00Z</dcterms:modified>
</cp:coreProperties>
</file>