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2133" w:rsidRDefault="00F836BF">
      <w:r>
        <w:rPr>
          <w:noProof/>
          <w:lang w:eastAsia="de-DE"/>
        </w:rPr>
        <w:drawing>
          <wp:inline distT="0" distB="0" distL="0" distR="0">
            <wp:extent cx="9686925" cy="6610350"/>
            <wp:effectExtent l="19050" t="0" r="9525" b="0"/>
            <wp:docPr id="2" name="Diagramm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5F6CD7" w:rsidRDefault="005F6CD7">
      <w:r w:rsidRPr="005F6CD7">
        <w:lastRenderedPageBreak/>
        <w:drawing>
          <wp:inline distT="0" distB="0" distL="0" distR="0">
            <wp:extent cx="9763125" cy="6638925"/>
            <wp:effectExtent l="19050" t="0" r="9525" b="0"/>
            <wp:docPr id="3" name="Diagramm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122160" w:rsidRDefault="00122160">
      <w:r w:rsidRPr="00122160">
        <w:lastRenderedPageBreak/>
        <w:drawing>
          <wp:inline distT="0" distB="0" distL="0" distR="0">
            <wp:extent cx="9763125" cy="6638925"/>
            <wp:effectExtent l="19050" t="0" r="9525" b="0"/>
            <wp:docPr id="4" name="Diagramm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sectPr w:rsidR="00122160" w:rsidSect="00F6208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F836BF"/>
    <w:rsid w:val="000D043D"/>
    <w:rsid w:val="00122160"/>
    <w:rsid w:val="00330B8A"/>
    <w:rsid w:val="005F6CD7"/>
    <w:rsid w:val="006746D6"/>
    <w:rsid w:val="006972D2"/>
    <w:rsid w:val="007D2133"/>
    <w:rsid w:val="00A246F7"/>
    <w:rsid w:val="00F62089"/>
    <w:rsid w:val="00F836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D2133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836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836B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-Arbeitsblat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-Arbeitsblat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-Arbeitsblatt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de-DE"/>
  <c:chart>
    <c:title/>
    <c:plotArea>
      <c:layout/>
      <c:lineChart>
        <c:grouping val="standard"/>
        <c:ser>
          <c:idx val="0"/>
          <c:order val="0"/>
          <c:tx>
            <c:strRef>
              <c:f>Tabelle1!$B$1</c:f>
              <c:strCache>
                <c:ptCount val="1"/>
                <c:pt idx="0">
                  <c:v>DAX in Punkten</c:v>
                </c:pt>
              </c:strCache>
            </c:strRef>
          </c:tx>
          <c:cat>
            <c:strRef>
              <c:f>Tabelle1!$A$2:$A$31</c:f>
              <c:strCache>
                <c:ptCount val="17"/>
                <c:pt idx="0">
                  <c:v>10.08.20010</c:v>
                </c:pt>
                <c:pt idx="1">
                  <c:v>09.02.1916</c:v>
                </c:pt>
                <c:pt idx="2">
                  <c:v>27.08.2010</c:v>
                </c:pt>
                <c:pt idx="3">
                  <c:v>01.09.2010</c:v>
                </c:pt>
                <c:pt idx="4">
                  <c:v>08.09.2010</c:v>
                </c:pt>
                <c:pt idx="5">
                  <c:v>15.09.2010</c:v>
                </c:pt>
                <c:pt idx="6">
                  <c:v>24.09.2010</c:v>
                </c:pt>
                <c:pt idx="7">
                  <c:v>29.10.2010</c:v>
                </c:pt>
                <c:pt idx="8">
                  <c:v>05.11.2010</c:v>
                </c:pt>
                <c:pt idx="9">
                  <c:v>19.11.2010</c:v>
                </c:pt>
                <c:pt idx="10">
                  <c:v>07.12.2010</c:v>
                </c:pt>
                <c:pt idx="11">
                  <c:v>21.12.2010</c:v>
                </c:pt>
                <c:pt idx="12">
                  <c:v>14.01.2011</c:v>
                </c:pt>
                <c:pt idx="13">
                  <c:v>21.01.2011</c:v>
                </c:pt>
                <c:pt idx="14">
                  <c:v>04.02.2011</c:v>
                </c:pt>
                <c:pt idx="15">
                  <c:v>08.02.2011</c:v>
                </c:pt>
                <c:pt idx="16">
                  <c:v>18.03.2011</c:v>
                </c:pt>
              </c:strCache>
            </c:strRef>
          </c:cat>
          <c:val>
            <c:numRef>
              <c:f>Tabelle1!$B$2:$B$31</c:f>
              <c:numCache>
                <c:formatCode>General</c:formatCode>
                <c:ptCount val="30"/>
                <c:pt idx="0">
                  <c:v>6286</c:v>
                </c:pt>
                <c:pt idx="1">
                  <c:v>6206</c:v>
                </c:pt>
                <c:pt idx="2">
                  <c:v>5884</c:v>
                </c:pt>
                <c:pt idx="3">
                  <c:v>5947</c:v>
                </c:pt>
                <c:pt idx="4">
                  <c:v>6073</c:v>
                </c:pt>
                <c:pt idx="5">
                  <c:v>6266</c:v>
                </c:pt>
                <c:pt idx="6">
                  <c:v>6172</c:v>
                </c:pt>
                <c:pt idx="7">
                  <c:v>6580</c:v>
                </c:pt>
                <c:pt idx="8">
                  <c:v>6735</c:v>
                </c:pt>
                <c:pt idx="9">
                  <c:v>6838</c:v>
                </c:pt>
                <c:pt idx="10">
                  <c:v>6984</c:v>
                </c:pt>
                <c:pt idx="11">
                  <c:v>7018</c:v>
                </c:pt>
                <c:pt idx="12">
                  <c:v>7057</c:v>
                </c:pt>
                <c:pt idx="13">
                  <c:v>7066</c:v>
                </c:pt>
                <c:pt idx="14">
                  <c:v>7206</c:v>
                </c:pt>
                <c:pt idx="15">
                  <c:v>7283</c:v>
                </c:pt>
                <c:pt idx="16">
                  <c:v>6709</c:v>
                </c:pt>
              </c:numCache>
            </c:numRef>
          </c:val>
        </c:ser>
        <c:ser>
          <c:idx val="1"/>
          <c:order val="1"/>
          <c:tx>
            <c:strRef>
              <c:f>Tabelle1!$C$1</c:f>
              <c:strCache>
                <c:ptCount val="1"/>
                <c:pt idx="0">
                  <c:v>Dow-Jones  in Punkten</c:v>
                </c:pt>
              </c:strCache>
            </c:strRef>
          </c:tx>
          <c:cat>
            <c:strRef>
              <c:f>Tabelle1!$A$2:$A$31</c:f>
              <c:strCache>
                <c:ptCount val="17"/>
                <c:pt idx="0">
                  <c:v>10.08.20010</c:v>
                </c:pt>
                <c:pt idx="1">
                  <c:v>09.02.1916</c:v>
                </c:pt>
                <c:pt idx="2">
                  <c:v>27.08.2010</c:v>
                </c:pt>
                <c:pt idx="3">
                  <c:v>01.09.2010</c:v>
                </c:pt>
                <c:pt idx="4">
                  <c:v>08.09.2010</c:v>
                </c:pt>
                <c:pt idx="5">
                  <c:v>15.09.2010</c:v>
                </c:pt>
                <c:pt idx="6">
                  <c:v>24.09.2010</c:v>
                </c:pt>
                <c:pt idx="7">
                  <c:v>29.10.2010</c:v>
                </c:pt>
                <c:pt idx="8">
                  <c:v>05.11.2010</c:v>
                </c:pt>
                <c:pt idx="9">
                  <c:v>19.11.2010</c:v>
                </c:pt>
                <c:pt idx="10">
                  <c:v>07.12.2010</c:v>
                </c:pt>
                <c:pt idx="11">
                  <c:v>21.12.2010</c:v>
                </c:pt>
                <c:pt idx="12">
                  <c:v>14.01.2011</c:v>
                </c:pt>
                <c:pt idx="13">
                  <c:v>21.01.2011</c:v>
                </c:pt>
                <c:pt idx="14">
                  <c:v>04.02.2011</c:v>
                </c:pt>
                <c:pt idx="15">
                  <c:v>08.02.2011</c:v>
                </c:pt>
                <c:pt idx="16">
                  <c:v>18.03.2011</c:v>
                </c:pt>
              </c:strCache>
            </c:strRef>
          </c:cat>
          <c:val>
            <c:numRef>
              <c:f>Tabelle1!$C$2:$C$31</c:f>
              <c:numCache>
                <c:formatCode>General</c:formatCode>
                <c:ptCount val="30"/>
                <c:pt idx="0">
                  <c:v>10605</c:v>
                </c:pt>
                <c:pt idx="1">
                  <c:v>10439</c:v>
                </c:pt>
                <c:pt idx="2">
                  <c:v>9985</c:v>
                </c:pt>
                <c:pt idx="3">
                  <c:v>10015</c:v>
                </c:pt>
                <c:pt idx="4">
                  <c:v>10341</c:v>
                </c:pt>
                <c:pt idx="5">
                  <c:v>10527</c:v>
                </c:pt>
                <c:pt idx="6">
                  <c:v>10662</c:v>
                </c:pt>
                <c:pt idx="7">
                  <c:v>11114</c:v>
                </c:pt>
                <c:pt idx="8">
                  <c:v>11435</c:v>
                </c:pt>
                <c:pt idx="9">
                  <c:v>11181</c:v>
                </c:pt>
                <c:pt idx="10">
                  <c:v>11362</c:v>
                </c:pt>
                <c:pt idx="11">
                  <c:v>11478</c:v>
                </c:pt>
                <c:pt idx="12">
                  <c:v>11732</c:v>
                </c:pt>
                <c:pt idx="13">
                  <c:v>11823</c:v>
                </c:pt>
                <c:pt idx="14">
                  <c:v>12062</c:v>
                </c:pt>
                <c:pt idx="15">
                  <c:v>12162</c:v>
                </c:pt>
                <c:pt idx="16">
                  <c:v>11775</c:v>
                </c:pt>
              </c:numCache>
            </c:numRef>
          </c:val>
        </c:ser>
        <c:ser>
          <c:idx val="2"/>
          <c:order val="2"/>
          <c:tx>
            <c:strRef>
              <c:f>Tabelle1!$D$1</c:f>
              <c:strCache>
                <c:ptCount val="1"/>
                <c:pt idx="0">
                  <c:v>Hang-Seng in Punkten</c:v>
                </c:pt>
              </c:strCache>
            </c:strRef>
          </c:tx>
          <c:cat>
            <c:strRef>
              <c:f>Tabelle1!$A$2:$A$31</c:f>
              <c:strCache>
                <c:ptCount val="17"/>
                <c:pt idx="0">
                  <c:v>10.08.20010</c:v>
                </c:pt>
                <c:pt idx="1">
                  <c:v>09.02.1916</c:v>
                </c:pt>
                <c:pt idx="2">
                  <c:v>27.08.2010</c:v>
                </c:pt>
                <c:pt idx="3">
                  <c:v>01.09.2010</c:v>
                </c:pt>
                <c:pt idx="4">
                  <c:v>08.09.2010</c:v>
                </c:pt>
                <c:pt idx="5">
                  <c:v>15.09.2010</c:v>
                </c:pt>
                <c:pt idx="6">
                  <c:v>24.09.2010</c:v>
                </c:pt>
                <c:pt idx="7">
                  <c:v>29.10.2010</c:v>
                </c:pt>
                <c:pt idx="8">
                  <c:v>05.11.2010</c:v>
                </c:pt>
                <c:pt idx="9">
                  <c:v>19.11.2010</c:v>
                </c:pt>
                <c:pt idx="10">
                  <c:v>07.12.2010</c:v>
                </c:pt>
                <c:pt idx="11">
                  <c:v>21.12.2010</c:v>
                </c:pt>
                <c:pt idx="12">
                  <c:v>14.01.2011</c:v>
                </c:pt>
                <c:pt idx="13">
                  <c:v>21.01.2011</c:v>
                </c:pt>
                <c:pt idx="14">
                  <c:v>04.02.2011</c:v>
                </c:pt>
                <c:pt idx="15">
                  <c:v>08.02.2011</c:v>
                </c:pt>
                <c:pt idx="16">
                  <c:v>18.03.2011</c:v>
                </c:pt>
              </c:strCache>
            </c:strRef>
          </c:cat>
          <c:val>
            <c:numRef>
              <c:f>Tabelle1!$D$2:$D$31</c:f>
              <c:numCache>
                <c:formatCode>General</c:formatCode>
                <c:ptCount val="30"/>
                <c:pt idx="0">
                  <c:v>21473</c:v>
                </c:pt>
                <c:pt idx="1">
                  <c:v>21137</c:v>
                </c:pt>
                <c:pt idx="2">
                  <c:v>20597</c:v>
                </c:pt>
                <c:pt idx="3">
                  <c:v>20623</c:v>
                </c:pt>
                <c:pt idx="4">
                  <c:v>21088</c:v>
                </c:pt>
                <c:pt idx="5">
                  <c:v>21725</c:v>
                </c:pt>
                <c:pt idx="6">
                  <c:v>22119</c:v>
                </c:pt>
                <c:pt idx="7">
                  <c:v>23096</c:v>
                </c:pt>
                <c:pt idx="8">
                  <c:v>24876</c:v>
                </c:pt>
                <c:pt idx="9">
                  <c:v>23605</c:v>
                </c:pt>
                <c:pt idx="10">
                  <c:v>23428</c:v>
                </c:pt>
                <c:pt idx="11">
                  <c:v>22956</c:v>
                </c:pt>
                <c:pt idx="12">
                  <c:v>24283</c:v>
                </c:pt>
                <c:pt idx="13">
                  <c:v>23876</c:v>
                </c:pt>
                <c:pt idx="14">
                  <c:v>23908</c:v>
                </c:pt>
                <c:pt idx="15">
                  <c:v>23484</c:v>
                </c:pt>
                <c:pt idx="16">
                  <c:v>22284</c:v>
                </c:pt>
              </c:numCache>
            </c:numRef>
          </c:val>
        </c:ser>
        <c:marker val="1"/>
        <c:axId val="74678656"/>
        <c:axId val="74680576"/>
      </c:lineChart>
      <c:catAx>
        <c:axId val="74678656"/>
        <c:scaling>
          <c:orientation val="minMax"/>
        </c:scaling>
        <c:axPos val="b"/>
        <c:majorTickMark val="none"/>
        <c:tickLblPos val="nextTo"/>
        <c:crossAx val="74680576"/>
        <c:crosses val="autoZero"/>
        <c:auto val="1"/>
        <c:lblAlgn val="ctr"/>
        <c:lblOffset val="100"/>
      </c:catAx>
      <c:valAx>
        <c:axId val="74680576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spPr>
          <a:ln w="9525">
            <a:noFill/>
          </a:ln>
        </c:spPr>
        <c:crossAx val="74678656"/>
        <c:crosses val="autoZero"/>
        <c:crossBetween val="between"/>
      </c:valAx>
    </c:plotArea>
    <c:legend>
      <c:legendPos val="b"/>
    </c:legend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de-DE"/>
  <c:chart>
    <c:title/>
    <c:plotArea>
      <c:layout/>
      <c:lineChart>
        <c:grouping val="standard"/>
        <c:ser>
          <c:idx val="0"/>
          <c:order val="0"/>
          <c:tx>
            <c:strRef>
              <c:f>Tabelle1!$B$1</c:f>
              <c:strCache>
                <c:ptCount val="1"/>
                <c:pt idx="0">
                  <c:v>Tyssen -Krupp (TYEKF)</c:v>
                </c:pt>
              </c:strCache>
            </c:strRef>
          </c:tx>
          <c:cat>
            <c:strRef>
              <c:f>Tabelle1!$A$2:$A$31</c:f>
              <c:strCache>
                <c:ptCount val="17"/>
                <c:pt idx="0">
                  <c:v>10.08.20010</c:v>
                </c:pt>
                <c:pt idx="1">
                  <c:v>09.02.1916</c:v>
                </c:pt>
                <c:pt idx="2">
                  <c:v>27.08.2010</c:v>
                </c:pt>
                <c:pt idx="3">
                  <c:v>01.09.2010</c:v>
                </c:pt>
                <c:pt idx="4">
                  <c:v>08.09.2010</c:v>
                </c:pt>
                <c:pt idx="5">
                  <c:v>15.09.2010</c:v>
                </c:pt>
                <c:pt idx="6">
                  <c:v>24.09.2010</c:v>
                </c:pt>
                <c:pt idx="7">
                  <c:v>29.10.2010</c:v>
                </c:pt>
                <c:pt idx="8">
                  <c:v>05.11.2010</c:v>
                </c:pt>
                <c:pt idx="9">
                  <c:v>19.11.2010</c:v>
                </c:pt>
                <c:pt idx="10">
                  <c:v>07.12.2010</c:v>
                </c:pt>
                <c:pt idx="11">
                  <c:v>21.12.2010</c:v>
                </c:pt>
                <c:pt idx="12">
                  <c:v>14.01.2011</c:v>
                </c:pt>
                <c:pt idx="13">
                  <c:v>21.01.2011</c:v>
                </c:pt>
                <c:pt idx="14">
                  <c:v>04.02.2011</c:v>
                </c:pt>
                <c:pt idx="15">
                  <c:v>08.02.2011</c:v>
                </c:pt>
                <c:pt idx="16">
                  <c:v>18.03.2011</c:v>
                </c:pt>
              </c:strCache>
            </c:strRef>
          </c:cat>
          <c:val>
            <c:numRef>
              <c:f>Tabelle1!$B$2:$B$31</c:f>
              <c:numCache>
                <c:formatCode>General</c:formatCode>
                <c:ptCount val="30"/>
                <c:pt idx="0">
                  <c:v>23.8</c:v>
                </c:pt>
                <c:pt idx="1">
                  <c:v>23.57</c:v>
                </c:pt>
                <c:pt idx="2">
                  <c:v>21.66</c:v>
                </c:pt>
                <c:pt idx="3">
                  <c:v>22.279999999999998</c:v>
                </c:pt>
                <c:pt idx="4">
                  <c:v>22.130000000000003</c:v>
                </c:pt>
                <c:pt idx="5">
                  <c:v>23.330000000000002</c:v>
                </c:pt>
                <c:pt idx="6">
                  <c:v>22.85</c:v>
                </c:pt>
                <c:pt idx="7">
                  <c:v>27.02</c:v>
                </c:pt>
                <c:pt idx="8">
                  <c:v>27.259999999999998</c:v>
                </c:pt>
                <c:pt idx="9">
                  <c:v>27.25</c:v>
                </c:pt>
                <c:pt idx="10">
                  <c:v>30.32</c:v>
                </c:pt>
                <c:pt idx="11">
                  <c:v>31.68</c:v>
                </c:pt>
                <c:pt idx="12">
                  <c:v>30.979999999999997</c:v>
                </c:pt>
                <c:pt idx="13">
                  <c:v>30.27</c:v>
                </c:pt>
                <c:pt idx="14">
                  <c:v>30.36</c:v>
                </c:pt>
                <c:pt idx="15">
                  <c:v>30.55</c:v>
                </c:pt>
                <c:pt idx="16">
                  <c:v>26.18</c:v>
                </c:pt>
              </c:numCache>
            </c:numRef>
          </c:val>
        </c:ser>
        <c:ser>
          <c:idx val="1"/>
          <c:order val="1"/>
          <c:tx>
            <c:strRef>
              <c:f>Tabelle1!$C$1</c:f>
              <c:strCache>
                <c:ptCount val="1"/>
                <c:pt idx="0">
                  <c:v>Volkswagen (WAN 766400)</c:v>
                </c:pt>
              </c:strCache>
            </c:strRef>
          </c:tx>
          <c:cat>
            <c:strRef>
              <c:f>Tabelle1!$A$2:$A$31</c:f>
              <c:strCache>
                <c:ptCount val="17"/>
                <c:pt idx="0">
                  <c:v>10.08.20010</c:v>
                </c:pt>
                <c:pt idx="1">
                  <c:v>09.02.1916</c:v>
                </c:pt>
                <c:pt idx="2">
                  <c:v>27.08.2010</c:v>
                </c:pt>
                <c:pt idx="3">
                  <c:v>01.09.2010</c:v>
                </c:pt>
                <c:pt idx="4">
                  <c:v>08.09.2010</c:v>
                </c:pt>
                <c:pt idx="5">
                  <c:v>15.09.2010</c:v>
                </c:pt>
                <c:pt idx="6">
                  <c:v>24.09.2010</c:v>
                </c:pt>
                <c:pt idx="7">
                  <c:v>29.10.2010</c:v>
                </c:pt>
                <c:pt idx="8">
                  <c:v>05.11.2010</c:v>
                </c:pt>
                <c:pt idx="9">
                  <c:v>19.11.2010</c:v>
                </c:pt>
                <c:pt idx="10">
                  <c:v>07.12.2010</c:v>
                </c:pt>
                <c:pt idx="11">
                  <c:v>21.12.2010</c:v>
                </c:pt>
                <c:pt idx="12">
                  <c:v>14.01.2011</c:v>
                </c:pt>
                <c:pt idx="13">
                  <c:v>21.01.2011</c:v>
                </c:pt>
                <c:pt idx="14">
                  <c:v>04.02.2011</c:v>
                </c:pt>
                <c:pt idx="15">
                  <c:v>08.02.2011</c:v>
                </c:pt>
                <c:pt idx="16">
                  <c:v>18.03.2011</c:v>
                </c:pt>
              </c:strCache>
            </c:strRef>
          </c:cat>
          <c:val>
            <c:numRef>
              <c:f>Tabelle1!$C$2:$C$31</c:f>
              <c:numCache>
                <c:formatCode>General</c:formatCode>
                <c:ptCount val="30"/>
                <c:pt idx="0">
                  <c:v>79.97</c:v>
                </c:pt>
                <c:pt idx="1">
                  <c:v>78.669999999999987</c:v>
                </c:pt>
                <c:pt idx="2">
                  <c:v>70.459999999999994</c:v>
                </c:pt>
                <c:pt idx="3">
                  <c:v>72.36</c:v>
                </c:pt>
                <c:pt idx="4">
                  <c:v>72.72</c:v>
                </c:pt>
                <c:pt idx="5">
                  <c:v>78.900000000000006</c:v>
                </c:pt>
                <c:pt idx="6">
                  <c:v>78.86</c:v>
                </c:pt>
                <c:pt idx="7">
                  <c:v>94.26</c:v>
                </c:pt>
                <c:pt idx="8">
                  <c:v>96.23</c:v>
                </c:pt>
                <c:pt idx="9">
                  <c:v>107.27</c:v>
                </c:pt>
                <c:pt idx="10">
                  <c:v>119.1</c:v>
                </c:pt>
                <c:pt idx="11">
                  <c:v>112.85</c:v>
                </c:pt>
                <c:pt idx="12">
                  <c:v>116.7</c:v>
                </c:pt>
                <c:pt idx="13">
                  <c:v>111.45</c:v>
                </c:pt>
                <c:pt idx="14">
                  <c:v>108.8</c:v>
                </c:pt>
                <c:pt idx="15">
                  <c:v>112.4</c:v>
                </c:pt>
                <c:pt idx="16">
                  <c:v>103</c:v>
                </c:pt>
              </c:numCache>
            </c:numRef>
          </c:val>
        </c:ser>
        <c:ser>
          <c:idx val="2"/>
          <c:order val="2"/>
          <c:tx>
            <c:strRef>
              <c:f>Tabelle1!$D$1</c:f>
              <c:strCache>
                <c:ptCount val="1"/>
                <c:pt idx="0">
                  <c:v>Salzgitter (620200)</c:v>
                </c:pt>
              </c:strCache>
            </c:strRef>
          </c:tx>
          <c:cat>
            <c:strRef>
              <c:f>Tabelle1!$A$2:$A$31</c:f>
              <c:strCache>
                <c:ptCount val="17"/>
                <c:pt idx="0">
                  <c:v>10.08.20010</c:v>
                </c:pt>
                <c:pt idx="1">
                  <c:v>09.02.1916</c:v>
                </c:pt>
                <c:pt idx="2">
                  <c:v>27.08.2010</c:v>
                </c:pt>
                <c:pt idx="3">
                  <c:v>01.09.2010</c:v>
                </c:pt>
                <c:pt idx="4">
                  <c:v>08.09.2010</c:v>
                </c:pt>
                <c:pt idx="5">
                  <c:v>15.09.2010</c:v>
                </c:pt>
                <c:pt idx="6">
                  <c:v>24.09.2010</c:v>
                </c:pt>
                <c:pt idx="7">
                  <c:v>29.10.2010</c:v>
                </c:pt>
                <c:pt idx="8">
                  <c:v>05.11.2010</c:v>
                </c:pt>
                <c:pt idx="9">
                  <c:v>19.11.2010</c:v>
                </c:pt>
                <c:pt idx="10">
                  <c:v>07.12.2010</c:v>
                </c:pt>
                <c:pt idx="11">
                  <c:v>21.12.2010</c:v>
                </c:pt>
                <c:pt idx="12">
                  <c:v>14.01.2011</c:v>
                </c:pt>
                <c:pt idx="13">
                  <c:v>21.01.2011</c:v>
                </c:pt>
                <c:pt idx="14">
                  <c:v>04.02.2011</c:v>
                </c:pt>
                <c:pt idx="15">
                  <c:v>08.02.2011</c:v>
                </c:pt>
                <c:pt idx="16">
                  <c:v>18.03.2011</c:v>
                </c:pt>
              </c:strCache>
            </c:strRef>
          </c:cat>
          <c:val>
            <c:numRef>
              <c:f>Tabelle1!$D$2:$D$31</c:f>
              <c:numCache>
                <c:formatCode>General</c:formatCode>
                <c:ptCount val="30"/>
                <c:pt idx="0">
                  <c:v>55.04</c:v>
                </c:pt>
                <c:pt idx="1">
                  <c:v>51.93</c:v>
                </c:pt>
                <c:pt idx="2">
                  <c:v>47.230000000000004</c:v>
                </c:pt>
                <c:pt idx="3">
                  <c:v>48.260000000000005</c:v>
                </c:pt>
                <c:pt idx="4">
                  <c:v>50.260000000000005</c:v>
                </c:pt>
                <c:pt idx="5">
                  <c:v>51.64</c:v>
                </c:pt>
                <c:pt idx="6">
                  <c:v>47.58</c:v>
                </c:pt>
                <c:pt idx="7">
                  <c:v>50.949999999999996</c:v>
                </c:pt>
                <c:pt idx="8">
                  <c:v>54.01</c:v>
                </c:pt>
                <c:pt idx="9">
                  <c:v>51.120000000000005</c:v>
                </c:pt>
                <c:pt idx="10">
                  <c:v>54.06</c:v>
                </c:pt>
                <c:pt idx="11">
                  <c:v>57.92</c:v>
                </c:pt>
                <c:pt idx="12">
                  <c:v>55.449999999999996</c:v>
                </c:pt>
                <c:pt idx="13">
                  <c:v>57.48</c:v>
                </c:pt>
                <c:pt idx="14">
                  <c:v>61.39</c:v>
                </c:pt>
                <c:pt idx="15">
                  <c:v>64.55</c:v>
                </c:pt>
                <c:pt idx="16">
                  <c:v>53.05</c:v>
                </c:pt>
              </c:numCache>
            </c:numRef>
          </c:val>
        </c:ser>
        <c:marker val="1"/>
        <c:axId val="87532672"/>
        <c:axId val="87553152"/>
      </c:lineChart>
      <c:catAx>
        <c:axId val="87532672"/>
        <c:scaling>
          <c:orientation val="minMax"/>
        </c:scaling>
        <c:axPos val="b"/>
        <c:majorTickMark val="none"/>
        <c:tickLblPos val="nextTo"/>
        <c:crossAx val="87553152"/>
        <c:crosses val="autoZero"/>
        <c:auto val="1"/>
        <c:lblAlgn val="ctr"/>
        <c:lblOffset val="100"/>
      </c:catAx>
      <c:valAx>
        <c:axId val="87553152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spPr>
          <a:ln w="9525">
            <a:noFill/>
          </a:ln>
        </c:spPr>
        <c:crossAx val="87532672"/>
        <c:crosses val="autoZero"/>
        <c:crossBetween val="between"/>
      </c:valAx>
    </c:plotArea>
    <c:legend>
      <c:legendPos val="b"/>
    </c:legend>
    <c:plotVisOnly val="1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de-DE"/>
  <c:chart>
    <c:title/>
    <c:plotArea>
      <c:layout/>
      <c:lineChart>
        <c:grouping val="standard"/>
        <c:ser>
          <c:idx val="0"/>
          <c:order val="0"/>
          <c:tx>
            <c:strRef>
              <c:f>Tabelle1!$B$1</c:f>
              <c:strCache>
                <c:ptCount val="1"/>
                <c:pt idx="0">
                  <c:v>Catarpilar in $ (50598)</c:v>
                </c:pt>
              </c:strCache>
            </c:strRef>
          </c:tx>
          <c:cat>
            <c:strRef>
              <c:f>Tabelle1!$A$2:$A$31</c:f>
              <c:strCache>
                <c:ptCount val="17"/>
                <c:pt idx="0">
                  <c:v>10.08.20010</c:v>
                </c:pt>
                <c:pt idx="1">
                  <c:v>09.02.1916</c:v>
                </c:pt>
                <c:pt idx="2">
                  <c:v>27.08.2010</c:v>
                </c:pt>
                <c:pt idx="3">
                  <c:v>01.09.2010</c:v>
                </c:pt>
                <c:pt idx="4">
                  <c:v>08.09.2010</c:v>
                </c:pt>
                <c:pt idx="5">
                  <c:v>15.09.2010</c:v>
                </c:pt>
                <c:pt idx="6">
                  <c:v>24.09.2010</c:v>
                </c:pt>
                <c:pt idx="7">
                  <c:v>29.10.2010</c:v>
                </c:pt>
                <c:pt idx="8">
                  <c:v>05.11.2010</c:v>
                </c:pt>
                <c:pt idx="9">
                  <c:v>19.11.2010</c:v>
                </c:pt>
                <c:pt idx="10">
                  <c:v>07.12.2010</c:v>
                </c:pt>
                <c:pt idx="11">
                  <c:v>21.12.2010</c:v>
                </c:pt>
                <c:pt idx="12">
                  <c:v>14.01.2011</c:v>
                </c:pt>
                <c:pt idx="13">
                  <c:v>21.01.2011</c:v>
                </c:pt>
                <c:pt idx="14">
                  <c:v>04.02.2011</c:v>
                </c:pt>
                <c:pt idx="15">
                  <c:v>08.02.2011</c:v>
                </c:pt>
                <c:pt idx="16">
                  <c:v>18.03.2011</c:v>
                </c:pt>
              </c:strCache>
            </c:strRef>
          </c:cat>
          <c:val>
            <c:numRef>
              <c:f>Tabelle1!$B$2:$B$31</c:f>
              <c:numCache>
                <c:formatCode>General</c:formatCode>
                <c:ptCount val="30"/>
                <c:pt idx="0">
                  <c:v>71.36999999999999</c:v>
                </c:pt>
                <c:pt idx="1">
                  <c:v>70.31</c:v>
                </c:pt>
                <c:pt idx="2">
                  <c:v>64.27</c:v>
                </c:pt>
                <c:pt idx="3">
                  <c:v>66.02</c:v>
                </c:pt>
                <c:pt idx="4">
                  <c:v>69.59</c:v>
                </c:pt>
                <c:pt idx="5">
                  <c:v>72.319999999999993</c:v>
                </c:pt>
                <c:pt idx="6">
                  <c:v>76.78</c:v>
                </c:pt>
                <c:pt idx="7">
                  <c:v>76.97</c:v>
                </c:pt>
                <c:pt idx="8">
                  <c:v>83.47</c:v>
                </c:pt>
                <c:pt idx="9">
                  <c:v>83.5</c:v>
                </c:pt>
                <c:pt idx="10">
                  <c:v>89.63</c:v>
                </c:pt>
                <c:pt idx="11">
                  <c:v>93.53</c:v>
                </c:pt>
                <c:pt idx="12">
                  <c:v>94.98</c:v>
                </c:pt>
                <c:pt idx="13">
                  <c:v>93.81</c:v>
                </c:pt>
                <c:pt idx="14">
                  <c:v>98.27</c:v>
                </c:pt>
                <c:pt idx="15">
                  <c:v>100.46000000000001</c:v>
                </c:pt>
                <c:pt idx="16">
                  <c:v>102.31</c:v>
                </c:pt>
              </c:numCache>
            </c:numRef>
          </c:val>
        </c:ser>
        <c:ser>
          <c:idx val="1"/>
          <c:order val="1"/>
          <c:tx>
            <c:strRef>
              <c:f>Tabelle1!$C$1</c:f>
              <c:strCache>
                <c:ptCount val="1"/>
                <c:pt idx="0">
                  <c:v>Rio Tinto in Aus $ (855018)</c:v>
                </c:pt>
              </c:strCache>
            </c:strRef>
          </c:tx>
          <c:cat>
            <c:strRef>
              <c:f>Tabelle1!$A$2:$A$31</c:f>
              <c:strCache>
                <c:ptCount val="17"/>
                <c:pt idx="0">
                  <c:v>10.08.20010</c:v>
                </c:pt>
                <c:pt idx="1">
                  <c:v>09.02.1916</c:v>
                </c:pt>
                <c:pt idx="2">
                  <c:v>27.08.2010</c:v>
                </c:pt>
                <c:pt idx="3">
                  <c:v>01.09.2010</c:v>
                </c:pt>
                <c:pt idx="4">
                  <c:v>08.09.2010</c:v>
                </c:pt>
                <c:pt idx="5">
                  <c:v>15.09.2010</c:v>
                </c:pt>
                <c:pt idx="6">
                  <c:v>24.09.2010</c:v>
                </c:pt>
                <c:pt idx="7">
                  <c:v>29.10.2010</c:v>
                </c:pt>
                <c:pt idx="8">
                  <c:v>05.11.2010</c:v>
                </c:pt>
                <c:pt idx="9">
                  <c:v>19.11.2010</c:v>
                </c:pt>
                <c:pt idx="10">
                  <c:v>07.12.2010</c:v>
                </c:pt>
                <c:pt idx="11">
                  <c:v>21.12.2010</c:v>
                </c:pt>
                <c:pt idx="12">
                  <c:v>14.01.2011</c:v>
                </c:pt>
                <c:pt idx="13">
                  <c:v>21.01.2011</c:v>
                </c:pt>
                <c:pt idx="14">
                  <c:v>04.02.2011</c:v>
                </c:pt>
                <c:pt idx="15">
                  <c:v>08.02.2011</c:v>
                </c:pt>
                <c:pt idx="16">
                  <c:v>18.03.2011</c:v>
                </c:pt>
              </c:strCache>
            </c:strRef>
          </c:cat>
          <c:val>
            <c:numRef>
              <c:f>Tabelle1!$C$2:$C$31</c:f>
              <c:numCache>
                <c:formatCode>General</c:formatCode>
                <c:ptCount val="30"/>
                <c:pt idx="0">
                  <c:v>72.599999999999994</c:v>
                </c:pt>
                <c:pt idx="1">
                  <c:v>71.440000000000012</c:v>
                </c:pt>
                <c:pt idx="2">
                  <c:v>69.599999999999994</c:v>
                </c:pt>
                <c:pt idx="3">
                  <c:v>70.09</c:v>
                </c:pt>
                <c:pt idx="4">
                  <c:v>74.349999999999994</c:v>
                </c:pt>
                <c:pt idx="5">
                  <c:v>75.149999999999991</c:v>
                </c:pt>
                <c:pt idx="6">
                  <c:v>75.149999999999991</c:v>
                </c:pt>
                <c:pt idx="7">
                  <c:v>75.599999999999994</c:v>
                </c:pt>
                <c:pt idx="8">
                  <c:v>82.169999999999987</c:v>
                </c:pt>
                <c:pt idx="9">
                  <c:v>87.28</c:v>
                </c:pt>
                <c:pt idx="10">
                  <c:v>84.33</c:v>
                </c:pt>
                <c:pt idx="11">
                  <c:v>86</c:v>
                </c:pt>
                <c:pt idx="12">
                  <c:v>86.82</c:v>
                </c:pt>
                <c:pt idx="13">
                  <c:v>87.55</c:v>
                </c:pt>
                <c:pt idx="14">
                  <c:v>84.45</c:v>
                </c:pt>
                <c:pt idx="15">
                  <c:v>86.22</c:v>
                </c:pt>
                <c:pt idx="16">
                  <c:v>87.38</c:v>
                </c:pt>
                <c:pt idx="17">
                  <c:v>80.59</c:v>
                </c:pt>
              </c:numCache>
            </c:numRef>
          </c:val>
        </c:ser>
        <c:ser>
          <c:idx val="2"/>
          <c:order val="2"/>
          <c:tx>
            <c:strRef>
              <c:f>Tabelle1!$D$1</c:f>
              <c:strCache>
                <c:ptCount val="1"/>
                <c:pt idx="0">
                  <c:v>Barrel Öl in  $</c:v>
                </c:pt>
              </c:strCache>
            </c:strRef>
          </c:tx>
          <c:cat>
            <c:strRef>
              <c:f>Tabelle1!$A$2:$A$31</c:f>
              <c:strCache>
                <c:ptCount val="17"/>
                <c:pt idx="0">
                  <c:v>10.08.20010</c:v>
                </c:pt>
                <c:pt idx="1">
                  <c:v>09.02.1916</c:v>
                </c:pt>
                <c:pt idx="2">
                  <c:v>27.08.2010</c:v>
                </c:pt>
                <c:pt idx="3">
                  <c:v>01.09.2010</c:v>
                </c:pt>
                <c:pt idx="4">
                  <c:v>08.09.2010</c:v>
                </c:pt>
                <c:pt idx="5">
                  <c:v>15.09.2010</c:v>
                </c:pt>
                <c:pt idx="6">
                  <c:v>24.09.2010</c:v>
                </c:pt>
                <c:pt idx="7">
                  <c:v>29.10.2010</c:v>
                </c:pt>
                <c:pt idx="8">
                  <c:v>05.11.2010</c:v>
                </c:pt>
                <c:pt idx="9">
                  <c:v>19.11.2010</c:v>
                </c:pt>
                <c:pt idx="10">
                  <c:v>07.12.2010</c:v>
                </c:pt>
                <c:pt idx="11">
                  <c:v>21.12.2010</c:v>
                </c:pt>
                <c:pt idx="12">
                  <c:v>14.01.2011</c:v>
                </c:pt>
                <c:pt idx="13">
                  <c:v>21.01.2011</c:v>
                </c:pt>
                <c:pt idx="14">
                  <c:v>04.02.2011</c:v>
                </c:pt>
                <c:pt idx="15">
                  <c:v>08.02.2011</c:v>
                </c:pt>
                <c:pt idx="16">
                  <c:v>18.03.2011</c:v>
                </c:pt>
              </c:strCache>
            </c:strRef>
          </c:cat>
          <c:val>
            <c:numRef>
              <c:f>Tabelle1!$D$2:$D$31</c:f>
              <c:numCache>
                <c:formatCode>General</c:formatCode>
                <c:ptCount val="30"/>
                <c:pt idx="0">
                  <c:v>79.09</c:v>
                </c:pt>
                <c:pt idx="1">
                  <c:v>77.349999999999994</c:v>
                </c:pt>
                <c:pt idx="2">
                  <c:v>74.45</c:v>
                </c:pt>
                <c:pt idx="3">
                  <c:v>74.64</c:v>
                </c:pt>
                <c:pt idx="4">
                  <c:v>76.53</c:v>
                </c:pt>
                <c:pt idx="5">
                  <c:v>78.86</c:v>
                </c:pt>
                <c:pt idx="6">
                  <c:v>77.86999999999999</c:v>
                </c:pt>
                <c:pt idx="7">
                  <c:v>82.35</c:v>
                </c:pt>
                <c:pt idx="8">
                  <c:v>87.23</c:v>
                </c:pt>
                <c:pt idx="9">
                  <c:v>83.86999999999999</c:v>
                </c:pt>
                <c:pt idx="10">
                  <c:v>91.31</c:v>
                </c:pt>
                <c:pt idx="11">
                  <c:v>91.27</c:v>
                </c:pt>
                <c:pt idx="12">
                  <c:v>97.81</c:v>
                </c:pt>
                <c:pt idx="13">
                  <c:v>96.57</c:v>
                </c:pt>
                <c:pt idx="14">
                  <c:v>102.11999999999999</c:v>
                </c:pt>
                <c:pt idx="15">
                  <c:v>99.11999999999999</c:v>
                </c:pt>
                <c:pt idx="16">
                  <c:v>114.35</c:v>
                </c:pt>
              </c:numCache>
            </c:numRef>
          </c:val>
        </c:ser>
        <c:marker val="1"/>
        <c:axId val="88653824"/>
        <c:axId val="88719744"/>
      </c:lineChart>
      <c:catAx>
        <c:axId val="88653824"/>
        <c:scaling>
          <c:orientation val="minMax"/>
        </c:scaling>
        <c:axPos val="b"/>
        <c:majorTickMark val="none"/>
        <c:tickLblPos val="nextTo"/>
        <c:crossAx val="88719744"/>
        <c:crosses val="autoZero"/>
        <c:auto val="1"/>
        <c:lblAlgn val="ctr"/>
        <c:lblOffset val="100"/>
      </c:catAx>
      <c:valAx>
        <c:axId val="88719744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spPr>
          <a:ln w="9525">
            <a:noFill/>
          </a:ln>
        </c:spPr>
        <c:crossAx val="88653824"/>
        <c:crosses val="autoZero"/>
        <c:crossBetween val="between"/>
      </c:valAx>
    </c:plotArea>
    <c:legend>
      <c:legendPos val="b"/>
    </c:legend>
    <c:plotVisOnly val="1"/>
  </c:chart>
  <c:externalData r:id="rId1"/>
</c:chartSpace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A37329-15EB-4B39-B2C9-D7FC661325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BIE Inc.</Company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BIE</dc:creator>
  <cp:keywords/>
  <dc:description/>
  <cp:lastModifiedBy>BIE</cp:lastModifiedBy>
  <cp:revision>5</cp:revision>
  <dcterms:created xsi:type="dcterms:W3CDTF">2011-03-26T22:04:00Z</dcterms:created>
  <dcterms:modified xsi:type="dcterms:W3CDTF">2011-03-28T11:29:00Z</dcterms:modified>
</cp:coreProperties>
</file>