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34A1" w:rsidRPr="00293193" w:rsidRDefault="00293193">
      <w:pPr>
        <w:rPr>
          <w:lang w:val="en-US"/>
        </w:rPr>
      </w:pPr>
      <w:r w:rsidRPr="00293193">
        <w:drawing>
          <wp:inline distT="0" distB="0" distL="0" distR="0">
            <wp:extent cx="5760720" cy="2421303"/>
            <wp:effectExtent l="19050" t="0" r="0" b="0"/>
            <wp:docPr id="1" name="Bild 204" descr="http://static.cdn-seekingalpha.com/uploads/2014/12/3/1007214-14176489626195717-Peter-E--Greulich_ori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descr="http://static.cdn-seekingalpha.com/uploads/2014/12/3/1007214-14176489626195717-Peter-E--Greulich_origin.jpg"/>
                    <pic:cNvPicPr>
                      <a:picLocks noChangeAspect="1" noChangeArrowheads="1"/>
                    </pic:cNvPicPr>
                  </pic:nvPicPr>
                  <pic:blipFill>
                    <a:blip r:embed="rId4"/>
                    <a:srcRect/>
                    <a:stretch>
                      <a:fillRect/>
                    </a:stretch>
                  </pic:blipFill>
                  <pic:spPr bwMode="auto">
                    <a:xfrm>
                      <a:off x="0" y="0"/>
                      <a:ext cx="5760720" cy="2421303"/>
                    </a:xfrm>
                    <a:prstGeom prst="rect">
                      <a:avLst/>
                    </a:prstGeom>
                    <a:noFill/>
                    <a:ln w="9525">
                      <a:noFill/>
                      <a:miter lim="800000"/>
                      <a:headEnd/>
                      <a:tailEnd/>
                    </a:ln>
                  </pic:spPr>
                </pic:pic>
              </a:graphicData>
            </a:graphic>
          </wp:inline>
        </w:drawing>
      </w:r>
      <w:r w:rsidRPr="00293193">
        <w:drawing>
          <wp:inline distT="0" distB="0" distL="0" distR="0">
            <wp:extent cx="5760720" cy="2631329"/>
            <wp:effectExtent l="19050" t="0" r="0" b="0"/>
            <wp:docPr id="1601" name="Bild 210" descr="http://static.cdn-seekingalpha.com/uploads/2014/12/3/1007214-14176510422047741-Peter-E--Greulich_ori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descr="http://static.cdn-seekingalpha.com/uploads/2014/12/3/1007214-14176510422047741-Peter-E--Greulich_origin.jpg"/>
                    <pic:cNvPicPr>
                      <a:picLocks noChangeAspect="1" noChangeArrowheads="1"/>
                    </pic:cNvPicPr>
                  </pic:nvPicPr>
                  <pic:blipFill>
                    <a:blip r:embed="rId5"/>
                    <a:srcRect/>
                    <a:stretch>
                      <a:fillRect/>
                    </a:stretch>
                  </pic:blipFill>
                  <pic:spPr bwMode="auto">
                    <a:xfrm>
                      <a:off x="0" y="0"/>
                      <a:ext cx="5760720" cy="2631329"/>
                    </a:xfrm>
                    <a:prstGeom prst="rect">
                      <a:avLst/>
                    </a:prstGeom>
                    <a:noFill/>
                    <a:ln w="9525">
                      <a:noFill/>
                      <a:miter lim="800000"/>
                      <a:headEnd/>
                      <a:tailEnd/>
                    </a:ln>
                  </pic:spPr>
                </pic:pic>
              </a:graphicData>
            </a:graphic>
          </wp:inline>
        </w:drawing>
      </w:r>
      <w:r w:rsidRPr="00293193">
        <w:drawing>
          <wp:inline distT="0" distB="0" distL="0" distR="0">
            <wp:extent cx="4597400" cy="2768600"/>
            <wp:effectExtent l="19050" t="0" r="0" b="0"/>
            <wp:docPr id="876" name="Bild 14" descr="http://static.cdn-seekingalpha.com/uploads/2014/11/23/14794022-14167788048806052-Ravi-Ba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tatic.cdn-seekingalpha.com/uploads/2014/11/23/14794022-14167788048806052-Ravi-Bala.png"/>
                    <pic:cNvPicPr>
                      <a:picLocks noChangeAspect="1" noChangeArrowheads="1"/>
                    </pic:cNvPicPr>
                  </pic:nvPicPr>
                  <pic:blipFill>
                    <a:blip r:embed="rId6"/>
                    <a:srcRect/>
                    <a:stretch>
                      <a:fillRect/>
                    </a:stretch>
                  </pic:blipFill>
                  <pic:spPr bwMode="auto">
                    <a:xfrm>
                      <a:off x="0" y="0"/>
                      <a:ext cx="4597400" cy="2768600"/>
                    </a:xfrm>
                    <a:prstGeom prst="rect">
                      <a:avLst/>
                    </a:prstGeom>
                    <a:noFill/>
                    <a:ln w="9525">
                      <a:noFill/>
                      <a:miter lim="800000"/>
                      <a:headEnd/>
                      <a:tailEnd/>
                    </a:ln>
                  </pic:spPr>
                </pic:pic>
              </a:graphicData>
            </a:graphic>
          </wp:inline>
        </w:drawing>
      </w:r>
      <w:r>
        <w:br/>
      </w:r>
      <w:r>
        <w:br/>
      </w:r>
      <w:r>
        <w:br/>
      </w:r>
      <w:r>
        <w:br/>
      </w:r>
      <w:r>
        <w:br/>
      </w:r>
      <w:r>
        <w:br/>
      </w:r>
      <w:r>
        <w:br/>
      </w:r>
      <w:r>
        <w:br/>
      </w:r>
      <w:r>
        <w:br/>
      </w:r>
      <w:r>
        <w:br/>
      </w:r>
      <w:r>
        <w:br/>
      </w:r>
      <w:r>
        <w:br/>
      </w:r>
      <w:r>
        <w:lastRenderedPageBreak/>
        <w:br/>
        <w:t>Ohne Rückkäufe stagniert der EPS</w:t>
      </w:r>
      <w:r>
        <w:br/>
      </w:r>
      <w:r w:rsidRPr="00293193">
        <w:drawing>
          <wp:inline distT="0" distB="0" distL="0" distR="0">
            <wp:extent cx="5760720" cy="3852481"/>
            <wp:effectExtent l="19050" t="0" r="0" b="0"/>
            <wp:docPr id="38" name="Bild 1638" descr="http://static.cdn-seekingalpha.com/uploads/2014/10/5847171_14144956756136_rId6_thumb.jp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8" descr="http://static.cdn-seekingalpha.com/uploads/2014/10/5847171_14144956756136_rId6_thumb.jpg">
                      <a:hlinkClick r:id="rId7"/>
                    </pic:cNvPr>
                    <pic:cNvPicPr>
                      <a:picLocks noChangeAspect="1" noChangeArrowheads="1"/>
                    </pic:cNvPicPr>
                  </pic:nvPicPr>
                  <pic:blipFill>
                    <a:blip r:embed="rId8"/>
                    <a:srcRect/>
                    <a:stretch>
                      <a:fillRect/>
                    </a:stretch>
                  </pic:blipFill>
                  <pic:spPr bwMode="auto">
                    <a:xfrm>
                      <a:off x="0" y="0"/>
                      <a:ext cx="5760720" cy="3852481"/>
                    </a:xfrm>
                    <a:prstGeom prst="rect">
                      <a:avLst/>
                    </a:prstGeom>
                    <a:noFill/>
                    <a:ln w="9525">
                      <a:noFill/>
                      <a:miter lim="800000"/>
                      <a:headEnd/>
                      <a:tailEnd/>
                    </a:ln>
                  </pic:spPr>
                </pic:pic>
              </a:graphicData>
            </a:graphic>
          </wp:inline>
        </w:drawing>
      </w:r>
      <w:r>
        <w:br/>
      </w:r>
      <w:r w:rsidRPr="00FC08AC">
        <w:rPr>
          <w:rFonts w:ascii="Arial" w:hAnsi="Arial" w:cs="Arial"/>
        </w:rPr>
        <w:t xml:space="preserve">5.) </w:t>
      </w:r>
      <w:r>
        <w:rPr>
          <w:rFonts w:ascii="Arial" w:hAnsi="Arial" w:cs="Arial"/>
          <w:color w:val="C00000"/>
        </w:rPr>
        <w:t>Geben mehr Geld für Aktienr</w:t>
      </w:r>
      <w:r w:rsidRPr="00FC08AC">
        <w:rPr>
          <w:rFonts w:ascii="Arial" w:hAnsi="Arial" w:cs="Arial"/>
          <w:color w:val="C00000"/>
        </w:rPr>
        <w:t>ückkäufe und Dividenden aus, als sie FCF haben.</w:t>
      </w:r>
      <w:r w:rsidRPr="00FC08AC">
        <w:rPr>
          <w:rFonts w:ascii="Arial" w:hAnsi="Arial" w:cs="Arial"/>
        </w:rPr>
        <w:br/>
      </w:r>
      <w:r w:rsidRPr="00B634E5">
        <w:rPr>
          <w:rFonts w:ascii="Arial" w:hAnsi="Arial" w:cs="Arial"/>
          <w:lang w:val="en-US"/>
        </w:rPr>
        <w:t xml:space="preserve">In </w:t>
      </w:r>
      <w:hyperlink r:id="rId9" w:tgtFrame="_blank" w:history="1">
        <w:r w:rsidRPr="00B634E5">
          <w:rPr>
            <w:rStyle w:val="Hyperlink"/>
            <w:rFonts w:ascii="Arial" w:eastAsiaTheme="majorEastAsia" w:hAnsi="Arial" w:cs="Arial"/>
            <w:color w:val="auto"/>
            <w:lang w:val="en-US"/>
          </w:rPr>
          <w:t>2013</w:t>
        </w:r>
      </w:hyperlink>
      <w:r w:rsidRPr="00B634E5">
        <w:rPr>
          <w:rFonts w:ascii="Arial" w:hAnsi="Arial" w:cs="Arial"/>
          <w:lang w:val="en-US"/>
        </w:rPr>
        <w:t>, IBM repurchased $13.86 Billion in stock and paid $4.06 Billion in dividends with only $12.5 Billion in free cash flow. IBM returned $5.92 Billion more to shareholders than it generated in free cash flow. Paying out more than 100% of FCF requires surplus cash or the issuance of debt.</w:t>
      </w:r>
      <w:r>
        <w:rPr>
          <w:rFonts w:ascii="Arial" w:hAnsi="Arial" w:cs="Arial"/>
          <w:lang w:val="en-US"/>
        </w:rPr>
        <w:br/>
      </w:r>
      <w:r>
        <w:rPr>
          <w:rFonts w:ascii="Arial" w:hAnsi="Arial" w:cs="Arial"/>
          <w:lang w:val="en-US"/>
        </w:rPr>
        <w:br/>
      </w:r>
      <w:r w:rsidRPr="00B634E5">
        <w:rPr>
          <w:rFonts w:ascii="Arial" w:hAnsi="Arial" w:cs="Arial"/>
          <w:lang w:val="en-US"/>
        </w:rPr>
        <w:t xml:space="preserve">8.) </w:t>
      </w:r>
      <w:r w:rsidRPr="00FC08AC">
        <w:rPr>
          <w:rFonts w:ascii="Arial" w:hAnsi="Arial" w:cs="Arial"/>
          <w:color w:val="C00000"/>
          <w:lang w:val="en-US"/>
        </w:rPr>
        <w:t xml:space="preserve">1966 </w:t>
      </w:r>
      <w:proofErr w:type="spellStart"/>
      <w:r w:rsidRPr="00FC08AC">
        <w:rPr>
          <w:rFonts w:ascii="Arial" w:hAnsi="Arial" w:cs="Arial"/>
          <w:color w:val="C00000"/>
          <w:lang w:val="en-US"/>
        </w:rPr>
        <w:t>wurden</w:t>
      </w:r>
      <w:proofErr w:type="spellEnd"/>
      <w:r w:rsidRPr="00FC08AC">
        <w:rPr>
          <w:rFonts w:ascii="Arial" w:hAnsi="Arial" w:cs="Arial"/>
          <w:color w:val="C00000"/>
          <w:lang w:val="en-US"/>
        </w:rPr>
        <w:t xml:space="preserve"> in </w:t>
      </w:r>
      <w:proofErr w:type="spellStart"/>
      <w:r w:rsidRPr="00FC08AC">
        <w:rPr>
          <w:rFonts w:ascii="Arial" w:hAnsi="Arial" w:cs="Arial"/>
          <w:color w:val="C00000"/>
          <w:lang w:val="en-US"/>
        </w:rPr>
        <w:t>Technologie</w:t>
      </w:r>
      <w:proofErr w:type="spellEnd"/>
      <w:r w:rsidRPr="00FC08AC">
        <w:rPr>
          <w:rFonts w:ascii="Arial" w:hAnsi="Arial" w:cs="Arial"/>
          <w:color w:val="C00000"/>
          <w:lang w:val="en-US"/>
        </w:rPr>
        <w:t xml:space="preserve"> </w:t>
      </w:r>
      <w:proofErr w:type="spellStart"/>
      <w:r w:rsidRPr="00FC08AC">
        <w:rPr>
          <w:rFonts w:ascii="Arial" w:hAnsi="Arial" w:cs="Arial"/>
          <w:color w:val="C00000"/>
          <w:lang w:val="en-US"/>
        </w:rPr>
        <w:t>investiert</w:t>
      </w:r>
      <w:proofErr w:type="spellEnd"/>
      <w:r w:rsidRPr="00FC08AC">
        <w:rPr>
          <w:rFonts w:ascii="Arial" w:hAnsi="Arial" w:cs="Arial"/>
          <w:color w:val="C00000"/>
          <w:lang w:val="en-US"/>
        </w:rPr>
        <w:t xml:space="preserve">. 2013 </w:t>
      </w:r>
      <w:proofErr w:type="spellStart"/>
      <w:r w:rsidRPr="00FC08AC">
        <w:rPr>
          <w:rFonts w:ascii="Arial" w:hAnsi="Arial" w:cs="Arial"/>
          <w:color w:val="C00000"/>
          <w:lang w:val="en-US"/>
        </w:rPr>
        <w:t>nur</w:t>
      </w:r>
      <w:proofErr w:type="spellEnd"/>
      <w:r w:rsidRPr="00FC08AC">
        <w:rPr>
          <w:rFonts w:ascii="Arial" w:hAnsi="Arial" w:cs="Arial"/>
          <w:color w:val="C00000"/>
          <w:lang w:val="en-US"/>
        </w:rPr>
        <w:t xml:space="preserve"> in </w:t>
      </w:r>
      <w:proofErr w:type="spellStart"/>
      <w:r w:rsidRPr="00FC08AC">
        <w:rPr>
          <w:rFonts w:ascii="Arial" w:hAnsi="Arial" w:cs="Arial"/>
          <w:color w:val="C00000"/>
          <w:lang w:val="en-US"/>
        </w:rPr>
        <w:t>Aktienrückkäufe</w:t>
      </w:r>
      <w:proofErr w:type="spellEnd"/>
      <w:r>
        <w:rPr>
          <w:rFonts w:ascii="Arial" w:hAnsi="Arial" w:cs="Arial"/>
          <w:lang w:val="en-US"/>
        </w:rPr>
        <w:br/>
      </w:r>
      <w:r w:rsidRPr="00B634E5">
        <w:rPr>
          <w:rFonts w:ascii="Arial" w:hAnsi="Arial" w:cs="Arial"/>
          <w:lang w:val="en-US"/>
        </w:rPr>
        <w:t xml:space="preserve">IBM spent 9.50 times its 1966 net income over four years to produce the mainframe - $5,000,000,000 in research, development and capital investments. IBM spent 9.59 times its 2013 net income over fourteen years buying its own stock - </w:t>
      </w:r>
      <w:hyperlink r:id="rId10" w:history="1">
        <w:r w:rsidRPr="00B634E5">
          <w:rPr>
            <w:rStyle w:val="Hyperlink"/>
            <w:rFonts w:ascii="Arial" w:hAnsi="Arial" w:cs="Arial"/>
            <w:color w:val="auto"/>
            <w:lang w:val="en-US"/>
          </w:rPr>
          <w:t>$158,000,000,000 in gross share repurchases</w:t>
        </w:r>
      </w:hyperlink>
      <w:r w:rsidRPr="00B634E5">
        <w:rPr>
          <w:rFonts w:ascii="Arial" w:hAnsi="Arial" w:cs="Arial"/>
          <w:lang w:val="en-US"/>
        </w:rPr>
        <w:t>. Within the history of a single company we see two completely different leadership styles: one that was sales-minded and invested in people, products and processes; a second that was financially minded and invested in paper</w:t>
      </w:r>
      <w:r>
        <w:rPr>
          <w:rFonts w:ascii="Arial" w:hAnsi="Arial" w:cs="Arial"/>
          <w:lang w:val="en-US"/>
        </w:rPr>
        <w:br/>
      </w:r>
      <w:r>
        <w:rPr>
          <w:rFonts w:ascii="Arial" w:hAnsi="Arial" w:cs="Arial"/>
          <w:lang w:val="en-US"/>
        </w:rPr>
        <w:br/>
      </w:r>
      <w:r>
        <w:rPr>
          <w:rFonts w:ascii="Arial" w:hAnsi="Arial" w:cs="Arial"/>
          <w:lang w:val="en-US"/>
        </w:rPr>
        <w:br/>
      </w:r>
      <w:r w:rsidRPr="00293193">
        <w:rPr>
          <w:rFonts w:ascii="Arial" w:hAnsi="Arial" w:cs="Arial"/>
          <w:lang w:val="en-US"/>
        </w:rPr>
        <w:t xml:space="preserve">10.) </w:t>
      </w:r>
      <w:r>
        <w:rPr>
          <w:rFonts w:ascii="Arial" w:hAnsi="Arial" w:cs="Arial"/>
          <w:color w:val="C00000"/>
        </w:rPr>
        <w:t xml:space="preserve">In 31 Quartalen wurden 111 </w:t>
      </w:r>
      <w:proofErr w:type="spellStart"/>
      <w:r>
        <w:rPr>
          <w:rFonts w:ascii="Arial" w:hAnsi="Arial" w:cs="Arial"/>
          <w:color w:val="C00000"/>
        </w:rPr>
        <w:t>Mr</w:t>
      </w:r>
      <w:r w:rsidRPr="00FC08AC">
        <w:rPr>
          <w:rFonts w:ascii="Arial" w:hAnsi="Arial" w:cs="Arial"/>
          <w:color w:val="C00000"/>
        </w:rPr>
        <w:t>d</w:t>
      </w:r>
      <w:proofErr w:type="spellEnd"/>
      <w:r w:rsidRPr="00FC08AC">
        <w:rPr>
          <w:rFonts w:ascii="Arial" w:hAnsi="Arial" w:cs="Arial"/>
          <w:color w:val="C00000"/>
        </w:rPr>
        <w:t xml:space="preserve"> für Aktienrückkäufe und 23 </w:t>
      </w:r>
      <w:proofErr w:type="spellStart"/>
      <w:r w:rsidRPr="00FC08AC">
        <w:rPr>
          <w:rFonts w:ascii="Arial" w:hAnsi="Arial" w:cs="Arial"/>
          <w:color w:val="C00000"/>
        </w:rPr>
        <w:t>Mrd</w:t>
      </w:r>
      <w:proofErr w:type="spellEnd"/>
      <w:r w:rsidRPr="00FC08AC">
        <w:rPr>
          <w:rFonts w:ascii="Arial" w:hAnsi="Arial" w:cs="Arial"/>
          <w:color w:val="C00000"/>
        </w:rPr>
        <w:t xml:space="preserve"> für Dividenden ausgegeben, </w:t>
      </w:r>
      <w:r>
        <w:rPr>
          <w:rFonts w:ascii="Arial" w:hAnsi="Arial" w:cs="Arial"/>
          <w:color w:val="C00000"/>
        </w:rPr>
        <w:t>der FCF war ab</w:t>
      </w:r>
      <w:r w:rsidRPr="00FC08AC">
        <w:rPr>
          <w:rFonts w:ascii="Arial" w:hAnsi="Arial" w:cs="Arial"/>
          <w:color w:val="C00000"/>
        </w:rPr>
        <w:t>er nur 107 Mrd.</w:t>
      </w:r>
      <w:r>
        <w:rPr>
          <w:rFonts w:ascii="Arial" w:hAnsi="Arial" w:cs="Arial"/>
        </w:rPr>
        <w:br/>
      </w:r>
      <w:r w:rsidRPr="00FC08AC">
        <w:rPr>
          <w:rFonts w:ascii="Arial" w:hAnsi="Arial" w:cs="Arial"/>
        </w:rPr>
        <w:br/>
      </w:r>
      <w:r w:rsidRPr="009220BF">
        <w:rPr>
          <w:rFonts w:ascii="Arial" w:hAnsi="Arial" w:cs="Arial"/>
          <w:lang w:val="en-US"/>
        </w:rPr>
        <w:t xml:space="preserve">During </w:t>
      </w:r>
      <w:r w:rsidRPr="00B634E5">
        <w:rPr>
          <w:rFonts w:ascii="Arial" w:hAnsi="Arial" w:cs="Arial"/>
          <w:lang w:val="en-US"/>
        </w:rPr>
        <w:t xml:space="preserve">the 31 quarters since the end of 2006, IBM has spent $111 billion on share buybacks and another $23 billion on dividends. During this same nearly eight year period, IBM reported net income of only $107 billion. So </w:t>
      </w:r>
      <w:proofErr w:type="gramStart"/>
      <w:r w:rsidRPr="00B634E5">
        <w:rPr>
          <w:rFonts w:ascii="Arial" w:hAnsi="Arial" w:cs="Arial"/>
          <w:lang w:val="en-US"/>
        </w:rPr>
        <w:t>its</w:t>
      </w:r>
      <w:proofErr w:type="gramEnd"/>
      <w:r w:rsidRPr="00B634E5">
        <w:rPr>
          <w:rFonts w:ascii="Arial" w:hAnsi="Arial" w:cs="Arial"/>
          <w:lang w:val="en-US"/>
        </w:rPr>
        <w:t xml:space="preserve"> paid out 125% of its earnings to shareholders</w:t>
      </w:r>
      <w:r>
        <w:rPr>
          <w:rFonts w:ascii="Arial" w:hAnsi="Arial" w:cs="Arial"/>
          <w:lang w:val="en-US"/>
        </w:rPr>
        <w:br/>
      </w:r>
      <w:r>
        <w:rPr>
          <w:rFonts w:ascii="Arial" w:hAnsi="Arial" w:cs="Arial"/>
          <w:lang w:val="en-US"/>
        </w:rPr>
        <w:br/>
      </w:r>
      <w:r>
        <w:rPr>
          <w:rFonts w:ascii="Arial" w:hAnsi="Arial" w:cs="Arial"/>
          <w:lang w:val="en-US"/>
        </w:rPr>
        <w:br/>
      </w:r>
      <w:r>
        <w:rPr>
          <w:rFonts w:ascii="Arial" w:hAnsi="Arial" w:cs="Arial"/>
          <w:lang w:val="en-US"/>
        </w:rPr>
        <w:br/>
        <w:t>11</w:t>
      </w:r>
      <w:r w:rsidRPr="00B634E5">
        <w:rPr>
          <w:rFonts w:ascii="Arial" w:hAnsi="Arial" w:cs="Arial"/>
          <w:lang w:val="en-US"/>
        </w:rPr>
        <w:t xml:space="preserve">.) </w:t>
      </w:r>
      <w:proofErr w:type="gramStart"/>
      <w:r w:rsidRPr="00CD2B3E">
        <w:rPr>
          <w:rFonts w:ascii="Arial" w:hAnsi="Arial" w:cs="Arial"/>
          <w:color w:val="C00000"/>
          <w:lang w:val="en-US"/>
        </w:rPr>
        <w:t>in</w:t>
      </w:r>
      <w:proofErr w:type="gramEnd"/>
      <w:r w:rsidRPr="00CD2B3E">
        <w:rPr>
          <w:rFonts w:ascii="Arial" w:hAnsi="Arial" w:cs="Arial"/>
          <w:color w:val="C00000"/>
          <w:lang w:val="en-US"/>
        </w:rPr>
        <w:t xml:space="preserve"> 20 </w:t>
      </w:r>
      <w:proofErr w:type="spellStart"/>
      <w:r w:rsidRPr="00CD2B3E">
        <w:rPr>
          <w:rFonts w:ascii="Arial" w:hAnsi="Arial" w:cs="Arial"/>
          <w:color w:val="C00000"/>
          <w:lang w:val="en-US"/>
        </w:rPr>
        <w:t>Jahren</w:t>
      </w:r>
      <w:proofErr w:type="spellEnd"/>
      <w:r w:rsidRPr="00CD2B3E">
        <w:rPr>
          <w:rFonts w:ascii="Arial" w:hAnsi="Arial" w:cs="Arial"/>
          <w:color w:val="C00000"/>
          <w:lang w:val="en-US"/>
        </w:rPr>
        <w:t xml:space="preserve"> </w:t>
      </w:r>
      <w:proofErr w:type="spellStart"/>
      <w:r w:rsidRPr="00CD2B3E">
        <w:rPr>
          <w:rFonts w:ascii="Arial" w:hAnsi="Arial" w:cs="Arial"/>
          <w:color w:val="C00000"/>
          <w:lang w:val="en-US"/>
        </w:rPr>
        <w:t>wurden</w:t>
      </w:r>
      <w:proofErr w:type="spellEnd"/>
      <w:r w:rsidRPr="00CD2B3E">
        <w:rPr>
          <w:rFonts w:ascii="Arial" w:hAnsi="Arial" w:cs="Arial"/>
          <w:color w:val="C00000"/>
          <w:lang w:val="en-US"/>
        </w:rPr>
        <w:t xml:space="preserve"> 550 Mio </w:t>
      </w:r>
      <w:proofErr w:type="spellStart"/>
      <w:r w:rsidRPr="00CD2B3E">
        <w:rPr>
          <w:rFonts w:ascii="Arial" w:hAnsi="Arial" w:cs="Arial"/>
          <w:color w:val="C00000"/>
          <w:lang w:val="en-US"/>
        </w:rPr>
        <w:t>Aktien</w:t>
      </w:r>
      <w:proofErr w:type="spellEnd"/>
      <w:r w:rsidRPr="00CD2B3E">
        <w:rPr>
          <w:rFonts w:ascii="Arial" w:hAnsi="Arial" w:cs="Arial"/>
          <w:color w:val="C00000"/>
          <w:lang w:val="en-US"/>
        </w:rPr>
        <w:t xml:space="preserve"> </w:t>
      </w:r>
      <w:proofErr w:type="spellStart"/>
      <w:r w:rsidRPr="00CD2B3E">
        <w:rPr>
          <w:rFonts w:ascii="Arial" w:hAnsi="Arial" w:cs="Arial"/>
          <w:color w:val="C00000"/>
          <w:lang w:val="en-US"/>
        </w:rPr>
        <w:t>rückgekauft</w:t>
      </w:r>
      <w:proofErr w:type="spellEnd"/>
      <w:r w:rsidRPr="00CD2B3E">
        <w:rPr>
          <w:rFonts w:ascii="Arial" w:hAnsi="Arial" w:cs="Arial"/>
          <w:color w:val="C00000"/>
          <w:lang w:val="en-US"/>
        </w:rPr>
        <w:t xml:space="preserve">. 40 % </w:t>
      </w:r>
      <w:proofErr w:type="spellStart"/>
      <w:r w:rsidRPr="00CD2B3E">
        <w:rPr>
          <w:rFonts w:ascii="Arial" w:hAnsi="Arial" w:cs="Arial"/>
          <w:color w:val="C00000"/>
          <w:lang w:val="en-US"/>
        </w:rPr>
        <w:t>gingen</w:t>
      </w:r>
      <w:proofErr w:type="spellEnd"/>
      <w:r w:rsidRPr="00CD2B3E">
        <w:rPr>
          <w:rFonts w:ascii="Arial" w:hAnsi="Arial" w:cs="Arial"/>
          <w:color w:val="C00000"/>
          <w:lang w:val="en-US"/>
        </w:rPr>
        <w:t xml:space="preserve"> </w:t>
      </w:r>
      <w:proofErr w:type="spellStart"/>
      <w:r w:rsidRPr="00CD2B3E">
        <w:rPr>
          <w:rFonts w:ascii="Arial" w:hAnsi="Arial" w:cs="Arial"/>
          <w:color w:val="C00000"/>
          <w:lang w:val="en-US"/>
        </w:rPr>
        <w:t>sofort</w:t>
      </w:r>
      <w:proofErr w:type="spellEnd"/>
      <w:r w:rsidRPr="00CD2B3E">
        <w:rPr>
          <w:rFonts w:ascii="Arial" w:hAnsi="Arial" w:cs="Arial"/>
          <w:color w:val="C00000"/>
          <w:lang w:val="en-US"/>
        </w:rPr>
        <w:t xml:space="preserve"> </w:t>
      </w:r>
      <w:proofErr w:type="spellStart"/>
      <w:proofErr w:type="gramStart"/>
      <w:r w:rsidRPr="00CD2B3E">
        <w:rPr>
          <w:rFonts w:ascii="Arial" w:hAnsi="Arial" w:cs="Arial"/>
          <w:color w:val="C00000"/>
          <w:lang w:val="en-US"/>
        </w:rPr>
        <w:t>an</w:t>
      </w:r>
      <w:proofErr w:type="gramEnd"/>
      <w:r w:rsidRPr="00CD2B3E">
        <w:rPr>
          <w:rFonts w:ascii="Arial" w:hAnsi="Arial" w:cs="Arial"/>
          <w:color w:val="C00000"/>
          <w:lang w:val="en-US"/>
        </w:rPr>
        <w:t xml:space="preserve"> das</w:t>
      </w:r>
      <w:proofErr w:type="spellEnd"/>
      <w:r w:rsidRPr="00CD2B3E">
        <w:rPr>
          <w:rFonts w:ascii="Arial" w:hAnsi="Arial" w:cs="Arial"/>
          <w:color w:val="C00000"/>
          <w:lang w:val="en-US"/>
        </w:rPr>
        <w:t xml:space="preserve"> Management.</w:t>
      </w:r>
      <w:r>
        <w:rPr>
          <w:rFonts w:ascii="Arial" w:hAnsi="Arial" w:cs="Arial"/>
          <w:lang w:val="en-US"/>
        </w:rPr>
        <w:br/>
      </w:r>
      <w:r w:rsidRPr="00B634E5">
        <w:rPr>
          <w:rFonts w:ascii="Arial" w:hAnsi="Arial" w:cs="Arial"/>
          <w:lang w:val="en-US"/>
        </w:rPr>
        <w:t>This massive and continuous stock-buying program brought approximately 550 million, or 36 percent, of the company’s 1.5 billion of outstanding shares into its treasury, but needless to say, they did not all stay there. Nearly two-fifths of these shares reentered the float, mainly to refresh the management stock option kitty.</w:t>
      </w:r>
    </w:p>
    <w:sectPr w:rsidR="002334A1" w:rsidRPr="00293193" w:rsidSect="00293193">
      <w:pgSz w:w="11906" w:h="16838"/>
      <w:pgMar w:top="142" w:right="720" w:bottom="720" w:left="72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6"/>
  <w:proofState w:spelling="clean" w:grammar="clean"/>
  <w:defaultTabStop w:val="708"/>
  <w:hyphenationZone w:val="425"/>
  <w:drawingGridHorizontalSpacing w:val="110"/>
  <w:displayHorizontalDrawingGridEvery w:val="2"/>
  <w:displayVerticalDrawingGridEvery w:val="2"/>
  <w:characterSpacingControl w:val="doNotCompress"/>
  <w:compat/>
  <w:rsids>
    <w:rsidRoot w:val="00293193"/>
    <w:rsid w:val="00272A4F"/>
    <w:rsid w:val="00293193"/>
    <w:rsid w:val="00337175"/>
    <w:rsid w:val="003630ED"/>
    <w:rsid w:val="00446A12"/>
    <w:rsid w:val="005766B8"/>
    <w:rsid w:val="00731A48"/>
    <w:rsid w:val="00FA6D8F"/>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731A48"/>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293193"/>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293193"/>
    <w:rPr>
      <w:rFonts w:ascii="Tahoma" w:hAnsi="Tahoma" w:cs="Tahoma"/>
      <w:sz w:val="16"/>
      <w:szCs w:val="16"/>
    </w:rPr>
  </w:style>
  <w:style w:type="character" w:styleId="Hyperlink">
    <w:name w:val="Hyperlink"/>
    <w:basedOn w:val="Absatz-Standardschriftart"/>
    <w:uiPriority w:val="99"/>
    <w:unhideWhenUsed/>
    <w:rsid w:val="00293193"/>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webSettings" Target="webSettings.xml"/><Relationship Id="rId7" Type="http://schemas.openxmlformats.org/officeDocument/2006/relationships/hyperlink" Target="http://static.cdn-seekingalpha.com/uploads/2014/10/5847171_14144956756136_rId6.jpg"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mbiconcepts.com/ibm-historical-market-value.html" TargetMode="External"/><Relationship Id="rId4" Type="http://schemas.openxmlformats.org/officeDocument/2006/relationships/image" Target="media/image1.jpeg"/><Relationship Id="rId9" Type="http://schemas.openxmlformats.org/officeDocument/2006/relationships/hyperlink" Target="https://www.bamsec.com/filing/104746914001302?cik=51143"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270</Words>
  <Characters>1701</Characters>
  <Application>Microsoft Office Word</Application>
  <DocSecurity>0</DocSecurity>
  <Lines>14</Lines>
  <Paragraphs>3</Paragraphs>
  <ScaleCrop>false</ScaleCrop>
  <Company/>
  <LinksUpToDate>false</LinksUpToDate>
  <CharactersWithSpaces>1968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Neues Konto</dc:creator>
  <cp:lastModifiedBy>Neues Konto</cp:lastModifiedBy>
  <cp:revision>1</cp:revision>
  <dcterms:created xsi:type="dcterms:W3CDTF">2015-01-08T17:35:00Z</dcterms:created>
  <dcterms:modified xsi:type="dcterms:W3CDTF">2015-01-08T17:43:00Z</dcterms:modified>
</cp:coreProperties>
</file>